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221092089" w:displacedByCustomXml="next"/>
    <w:sdt>
      <w:sdtPr>
        <w:rPr>
          <w:rFonts w:asciiTheme="minorHAnsi" w:eastAsiaTheme="minorHAnsi" w:hAnsiTheme="minorHAnsi" w:cstheme="minorHAnsi"/>
          <w:color w:val="auto"/>
          <w:sz w:val="24"/>
          <w:szCs w:val="24"/>
          <w:lang w:eastAsia="en-US"/>
        </w:rPr>
        <w:id w:val="-1543589247"/>
        <w:docPartObj>
          <w:docPartGallery w:val="Table of Contents"/>
          <w:docPartUnique/>
        </w:docPartObj>
      </w:sdtPr>
      <w:sdtEndPr>
        <w:rPr>
          <w:b/>
          <w:bCs/>
        </w:rPr>
      </w:sdtEndPr>
      <w:sdtContent>
        <w:p w:rsidR="00320BF8" w:rsidRPr="00FE4424" w:rsidRDefault="00320BF8">
          <w:pPr>
            <w:pStyle w:val="Nagwekspisutreci"/>
            <w:rPr>
              <w:rFonts w:asciiTheme="minorHAnsi" w:hAnsiTheme="minorHAnsi" w:cstheme="minorHAnsi"/>
              <w:sz w:val="24"/>
              <w:szCs w:val="24"/>
            </w:rPr>
          </w:pPr>
          <w:r w:rsidRPr="00FE4424">
            <w:rPr>
              <w:rFonts w:asciiTheme="minorHAnsi" w:hAnsiTheme="minorHAnsi" w:cstheme="minorHAnsi"/>
              <w:sz w:val="24"/>
              <w:szCs w:val="24"/>
            </w:rPr>
            <w:t>Spis treści</w:t>
          </w:r>
        </w:p>
        <w:p w:rsidR="008652B1" w:rsidRPr="00FE4424" w:rsidRDefault="00320BF8">
          <w:pPr>
            <w:pStyle w:val="Spistreci1"/>
            <w:tabs>
              <w:tab w:val="right" w:leader="dot" w:pos="9062"/>
            </w:tabs>
            <w:rPr>
              <w:rFonts w:eastAsiaTheme="minorEastAsia" w:cstheme="minorHAnsi"/>
              <w:noProof/>
              <w:sz w:val="24"/>
              <w:szCs w:val="24"/>
              <w:lang w:eastAsia="pl-PL"/>
            </w:rPr>
          </w:pPr>
          <w:r w:rsidRPr="00FE4424">
            <w:rPr>
              <w:rFonts w:cstheme="minorHAnsi"/>
              <w:b/>
              <w:bCs/>
              <w:sz w:val="24"/>
              <w:szCs w:val="24"/>
            </w:rPr>
            <w:fldChar w:fldCharType="begin"/>
          </w:r>
          <w:r w:rsidRPr="00FE4424">
            <w:rPr>
              <w:rFonts w:cstheme="minorHAnsi"/>
              <w:b/>
              <w:bCs/>
              <w:sz w:val="24"/>
              <w:szCs w:val="24"/>
            </w:rPr>
            <w:instrText xml:space="preserve"> TOC \o "1-3" \h \z \u </w:instrText>
          </w:r>
          <w:r w:rsidRPr="00FE4424">
            <w:rPr>
              <w:rFonts w:cstheme="minorHAnsi"/>
              <w:b/>
              <w:bCs/>
              <w:sz w:val="24"/>
              <w:szCs w:val="24"/>
            </w:rPr>
            <w:fldChar w:fldCharType="separate"/>
          </w:r>
          <w:hyperlink w:anchor="_Toc225839452" w:history="1">
            <w:r w:rsidR="008652B1" w:rsidRPr="00FE4424">
              <w:rPr>
                <w:rStyle w:val="Hipercze"/>
                <w:rFonts w:cstheme="minorHAnsi"/>
                <w:noProof/>
                <w:sz w:val="24"/>
                <w:szCs w:val="24"/>
              </w:rPr>
              <w:t>Pakiet 1.  Respirator transportowy z akumul. -szt. 2</w:t>
            </w:r>
            <w:r w:rsidR="008652B1" w:rsidRPr="00FE4424">
              <w:rPr>
                <w:rFonts w:cstheme="minorHAnsi"/>
                <w:noProof/>
                <w:webHidden/>
                <w:sz w:val="24"/>
                <w:szCs w:val="24"/>
              </w:rPr>
              <w:tab/>
            </w:r>
            <w:r w:rsidR="008652B1" w:rsidRPr="00FE4424">
              <w:rPr>
                <w:rFonts w:cstheme="minorHAnsi"/>
                <w:noProof/>
                <w:webHidden/>
                <w:sz w:val="24"/>
                <w:szCs w:val="24"/>
              </w:rPr>
              <w:fldChar w:fldCharType="begin"/>
            </w:r>
            <w:r w:rsidR="008652B1" w:rsidRPr="00FE4424">
              <w:rPr>
                <w:rFonts w:cstheme="minorHAnsi"/>
                <w:noProof/>
                <w:webHidden/>
                <w:sz w:val="24"/>
                <w:szCs w:val="24"/>
              </w:rPr>
              <w:instrText xml:space="preserve"> PAGEREF _Toc225839452 \h </w:instrText>
            </w:r>
            <w:r w:rsidR="008652B1" w:rsidRPr="00FE4424">
              <w:rPr>
                <w:rFonts w:cstheme="minorHAnsi"/>
                <w:noProof/>
                <w:webHidden/>
                <w:sz w:val="24"/>
                <w:szCs w:val="24"/>
              </w:rPr>
            </w:r>
            <w:r w:rsidR="008652B1" w:rsidRPr="00FE4424">
              <w:rPr>
                <w:rFonts w:cstheme="minorHAnsi"/>
                <w:noProof/>
                <w:webHidden/>
                <w:sz w:val="24"/>
                <w:szCs w:val="24"/>
              </w:rPr>
              <w:fldChar w:fldCharType="separate"/>
            </w:r>
            <w:r w:rsidR="009B3951" w:rsidRPr="00FE4424">
              <w:rPr>
                <w:rFonts w:cstheme="minorHAnsi"/>
                <w:noProof/>
                <w:webHidden/>
                <w:sz w:val="24"/>
                <w:szCs w:val="24"/>
              </w:rPr>
              <w:t>1</w:t>
            </w:r>
            <w:r w:rsidR="008652B1" w:rsidRPr="00FE4424">
              <w:rPr>
                <w:rFonts w:cstheme="minorHAnsi"/>
                <w:noProof/>
                <w:webHidden/>
                <w:sz w:val="24"/>
                <w:szCs w:val="24"/>
              </w:rPr>
              <w:fldChar w:fldCharType="end"/>
            </w:r>
          </w:hyperlink>
        </w:p>
        <w:p w:rsidR="008652B1" w:rsidRPr="00FE4424" w:rsidRDefault="00BC71C5">
          <w:pPr>
            <w:pStyle w:val="Spistreci1"/>
            <w:tabs>
              <w:tab w:val="right" w:leader="dot" w:pos="9062"/>
            </w:tabs>
            <w:rPr>
              <w:rFonts w:eastAsiaTheme="minorEastAsia" w:cstheme="minorHAnsi"/>
              <w:noProof/>
              <w:sz w:val="24"/>
              <w:szCs w:val="24"/>
              <w:lang w:eastAsia="pl-PL"/>
            </w:rPr>
          </w:pPr>
          <w:hyperlink w:anchor="_Toc225839453" w:history="1">
            <w:r w:rsidR="008652B1" w:rsidRPr="00FE4424">
              <w:rPr>
                <w:rStyle w:val="Hipercze"/>
                <w:rFonts w:cstheme="minorHAnsi"/>
                <w:noProof/>
                <w:sz w:val="24"/>
                <w:szCs w:val="24"/>
              </w:rPr>
              <w:t>Pakiet 2.  Zestaw infuzyjny w konfiguracji dla Kliniki Kardiologii -szt. 13</w:t>
            </w:r>
            <w:r w:rsidR="008652B1" w:rsidRPr="00FE4424">
              <w:rPr>
                <w:rFonts w:cstheme="minorHAnsi"/>
                <w:noProof/>
                <w:webHidden/>
                <w:sz w:val="24"/>
                <w:szCs w:val="24"/>
              </w:rPr>
              <w:tab/>
            </w:r>
            <w:r w:rsidR="008652B1" w:rsidRPr="00FE4424">
              <w:rPr>
                <w:rFonts w:cstheme="minorHAnsi"/>
                <w:noProof/>
                <w:webHidden/>
                <w:sz w:val="24"/>
                <w:szCs w:val="24"/>
              </w:rPr>
              <w:fldChar w:fldCharType="begin"/>
            </w:r>
            <w:r w:rsidR="008652B1" w:rsidRPr="00FE4424">
              <w:rPr>
                <w:rFonts w:cstheme="minorHAnsi"/>
                <w:noProof/>
                <w:webHidden/>
                <w:sz w:val="24"/>
                <w:szCs w:val="24"/>
              </w:rPr>
              <w:instrText xml:space="preserve"> PAGEREF _Toc225839453 \h </w:instrText>
            </w:r>
            <w:r w:rsidR="008652B1" w:rsidRPr="00FE4424">
              <w:rPr>
                <w:rFonts w:cstheme="minorHAnsi"/>
                <w:noProof/>
                <w:webHidden/>
                <w:sz w:val="24"/>
                <w:szCs w:val="24"/>
              </w:rPr>
            </w:r>
            <w:r w:rsidR="008652B1" w:rsidRPr="00FE4424">
              <w:rPr>
                <w:rFonts w:cstheme="minorHAnsi"/>
                <w:noProof/>
                <w:webHidden/>
                <w:sz w:val="24"/>
                <w:szCs w:val="24"/>
              </w:rPr>
              <w:fldChar w:fldCharType="separate"/>
            </w:r>
            <w:r w:rsidR="009B3951" w:rsidRPr="00FE4424">
              <w:rPr>
                <w:rFonts w:cstheme="minorHAnsi"/>
                <w:noProof/>
                <w:webHidden/>
                <w:sz w:val="24"/>
                <w:szCs w:val="24"/>
              </w:rPr>
              <w:t>4</w:t>
            </w:r>
            <w:r w:rsidR="008652B1" w:rsidRPr="00FE4424">
              <w:rPr>
                <w:rFonts w:cstheme="minorHAnsi"/>
                <w:noProof/>
                <w:webHidden/>
                <w:sz w:val="24"/>
                <w:szCs w:val="24"/>
              </w:rPr>
              <w:fldChar w:fldCharType="end"/>
            </w:r>
          </w:hyperlink>
        </w:p>
        <w:p w:rsidR="008652B1" w:rsidRPr="00FE4424" w:rsidRDefault="00BC71C5">
          <w:pPr>
            <w:pStyle w:val="Spistreci1"/>
            <w:tabs>
              <w:tab w:val="right" w:leader="dot" w:pos="9062"/>
            </w:tabs>
            <w:rPr>
              <w:rFonts w:eastAsiaTheme="minorEastAsia" w:cstheme="minorHAnsi"/>
              <w:noProof/>
              <w:sz w:val="24"/>
              <w:szCs w:val="24"/>
              <w:lang w:eastAsia="pl-PL"/>
            </w:rPr>
          </w:pPr>
          <w:hyperlink w:anchor="_Toc225839454" w:history="1">
            <w:r w:rsidR="008652B1" w:rsidRPr="00FE4424">
              <w:rPr>
                <w:rStyle w:val="Hipercze"/>
                <w:rFonts w:cstheme="minorHAnsi"/>
                <w:noProof/>
                <w:sz w:val="24"/>
                <w:szCs w:val="24"/>
              </w:rPr>
              <w:t>Pakiet 3.  Wózek transportowy leżący dla pacjentów -szt. 8</w:t>
            </w:r>
            <w:r w:rsidR="008652B1" w:rsidRPr="00FE4424">
              <w:rPr>
                <w:rFonts w:cstheme="minorHAnsi"/>
                <w:noProof/>
                <w:webHidden/>
                <w:sz w:val="24"/>
                <w:szCs w:val="24"/>
              </w:rPr>
              <w:tab/>
            </w:r>
            <w:r w:rsidR="008652B1" w:rsidRPr="00FE4424">
              <w:rPr>
                <w:rFonts w:cstheme="minorHAnsi"/>
                <w:noProof/>
                <w:webHidden/>
                <w:sz w:val="24"/>
                <w:szCs w:val="24"/>
              </w:rPr>
              <w:fldChar w:fldCharType="begin"/>
            </w:r>
            <w:r w:rsidR="008652B1" w:rsidRPr="00FE4424">
              <w:rPr>
                <w:rFonts w:cstheme="minorHAnsi"/>
                <w:noProof/>
                <w:webHidden/>
                <w:sz w:val="24"/>
                <w:szCs w:val="24"/>
              </w:rPr>
              <w:instrText xml:space="preserve"> PAGEREF _Toc225839454 \h </w:instrText>
            </w:r>
            <w:r w:rsidR="008652B1" w:rsidRPr="00FE4424">
              <w:rPr>
                <w:rFonts w:cstheme="minorHAnsi"/>
                <w:noProof/>
                <w:webHidden/>
                <w:sz w:val="24"/>
                <w:szCs w:val="24"/>
              </w:rPr>
            </w:r>
            <w:r w:rsidR="008652B1" w:rsidRPr="00FE4424">
              <w:rPr>
                <w:rFonts w:cstheme="minorHAnsi"/>
                <w:noProof/>
                <w:webHidden/>
                <w:sz w:val="24"/>
                <w:szCs w:val="24"/>
              </w:rPr>
              <w:fldChar w:fldCharType="separate"/>
            </w:r>
            <w:r w:rsidR="009B3951" w:rsidRPr="00FE4424">
              <w:rPr>
                <w:rFonts w:cstheme="minorHAnsi"/>
                <w:noProof/>
                <w:webHidden/>
                <w:sz w:val="24"/>
                <w:szCs w:val="24"/>
              </w:rPr>
              <w:t>11</w:t>
            </w:r>
            <w:r w:rsidR="008652B1" w:rsidRPr="00FE4424">
              <w:rPr>
                <w:rFonts w:cstheme="minorHAnsi"/>
                <w:noProof/>
                <w:webHidden/>
                <w:sz w:val="24"/>
                <w:szCs w:val="24"/>
              </w:rPr>
              <w:fldChar w:fldCharType="end"/>
            </w:r>
          </w:hyperlink>
        </w:p>
        <w:p w:rsidR="008652B1" w:rsidRPr="00FE4424" w:rsidRDefault="00BC71C5">
          <w:pPr>
            <w:pStyle w:val="Spistreci1"/>
            <w:tabs>
              <w:tab w:val="right" w:leader="dot" w:pos="9062"/>
            </w:tabs>
            <w:rPr>
              <w:rFonts w:eastAsiaTheme="minorEastAsia" w:cstheme="minorHAnsi"/>
              <w:noProof/>
              <w:sz w:val="24"/>
              <w:szCs w:val="24"/>
              <w:lang w:eastAsia="pl-PL"/>
            </w:rPr>
          </w:pPr>
          <w:hyperlink w:anchor="_Toc225839455" w:history="1">
            <w:r w:rsidR="008652B1" w:rsidRPr="00FE4424">
              <w:rPr>
                <w:rStyle w:val="Hipercze"/>
                <w:rFonts w:cstheme="minorHAnsi"/>
                <w:noProof/>
                <w:sz w:val="24"/>
                <w:szCs w:val="24"/>
              </w:rPr>
              <w:t>Pakiet 4.  System monitorowania pacjenta  -szt. 1</w:t>
            </w:r>
            <w:r w:rsidR="008652B1" w:rsidRPr="00FE4424">
              <w:rPr>
                <w:rFonts w:cstheme="minorHAnsi"/>
                <w:noProof/>
                <w:webHidden/>
                <w:sz w:val="24"/>
                <w:szCs w:val="24"/>
              </w:rPr>
              <w:tab/>
            </w:r>
            <w:r w:rsidR="008652B1" w:rsidRPr="00FE4424">
              <w:rPr>
                <w:rFonts w:cstheme="minorHAnsi"/>
                <w:noProof/>
                <w:webHidden/>
                <w:sz w:val="24"/>
                <w:szCs w:val="24"/>
              </w:rPr>
              <w:fldChar w:fldCharType="begin"/>
            </w:r>
            <w:r w:rsidR="008652B1" w:rsidRPr="00FE4424">
              <w:rPr>
                <w:rFonts w:cstheme="minorHAnsi"/>
                <w:noProof/>
                <w:webHidden/>
                <w:sz w:val="24"/>
                <w:szCs w:val="24"/>
              </w:rPr>
              <w:instrText xml:space="preserve"> PAGEREF _Toc225839455 \h </w:instrText>
            </w:r>
            <w:r w:rsidR="008652B1" w:rsidRPr="00FE4424">
              <w:rPr>
                <w:rFonts w:cstheme="minorHAnsi"/>
                <w:noProof/>
                <w:webHidden/>
                <w:sz w:val="24"/>
                <w:szCs w:val="24"/>
              </w:rPr>
            </w:r>
            <w:r w:rsidR="008652B1" w:rsidRPr="00FE4424">
              <w:rPr>
                <w:rFonts w:cstheme="minorHAnsi"/>
                <w:noProof/>
                <w:webHidden/>
                <w:sz w:val="24"/>
                <w:szCs w:val="24"/>
              </w:rPr>
              <w:fldChar w:fldCharType="separate"/>
            </w:r>
            <w:r w:rsidR="009B3951" w:rsidRPr="00FE4424">
              <w:rPr>
                <w:rFonts w:cstheme="minorHAnsi"/>
                <w:noProof/>
                <w:webHidden/>
                <w:sz w:val="24"/>
                <w:szCs w:val="24"/>
              </w:rPr>
              <w:t>13</w:t>
            </w:r>
            <w:r w:rsidR="008652B1" w:rsidRPr="00FE4424">
              <w:rPr>
                <w:rFonts w:cstheme="minorHAnsi"/>
                <w:noProof/>
                <w:webHidden/>
                <w:sz w:val="24"/>
                <w:szCs w:val="24"/>
              </w:rPr>
              <w:fldChar w:fldCharType="end"/>
            </w:r>
          </w:hyperlink>
        </w:p>
        <w:p w:rsidR="008652B1" w:rsidRPr="00FE4424" w:rsidRDefault="00BC71C5">
          <w:pPr>
            <w:pStyle w:val="Spistreci1"/>
            <w:tabs>
              <w:tab w:val="right" w:leader="dot" w:pos="9062"/>
            </w:tabs>
            <w:rPr>
              <w:rFonts w:eastAsiaTheme="minorEastAsia" w:cstheme="minorHAnsi"/>
              <w:noProof/>
              <w:sz w:val="24"/>
              <w:szCs w:val="24"/>
              <w:lang w:eastAsia="pl-PL"/>
            </w:rPr>
          </w:pPr>
          <w:hyperlink w:anchor="_Toc225839456" w:history="1">
            <w:r w:rsidR="008652B1" w:rsidRPr="00FE4424">
              <w:rPr>
                <w:rStyle w:val="Hipercze"/>
                <w:rFonts w:cstheme="minorHAnsi"/>
                <w:noProof/>
                <w:sz w:val="24"/>
                <w:szCs w:val="24"/>
              </w:rPr>
              <w:t>Pakiet 5.  Urządzenia telemetryczne z centralą monitorującą (Urządzenia telemetryczne z oprogramowaniem, akcesoriami i montażem ) -szt. 1</w:t>
            </w:r>
            <w:r w:rsidR="008652B1" w:rsidRPr="00FE4424">
              <w:rPr>
                <w:rFonts w:cstheme="minorHAnsi"/>
                <w:noProof/>
                <w:webHidden/>
                <w:sz w:val="24"/>
                <w:szCs w:val="24"/>
              </w:rPr>
              <w:tab/>
            </w:r>
            <w:r w:rsidR="008652B1" w:rsidRPr="00FE4424">
              <w:rPr>
                <w:rFonts w:cstheme="minorHAnsi"/>
                <w:noProof/>
                <w:webHidden/>
                <w:sz w:val="24"/>
                <w:szCs w:val="24"/>
              </w:rPr>
              <w:fldChar w:fldCharType="begin"/>
            </w:r>
            <w:r w:rsidR="008652B1" w:rsidRPr="00FE4424">
              <w:rPr>
                <w:rFonts w:cstheme="minorHAnsi"/>
                <w:noProof/>
                <w:webHidden/>
                <w:sz w:val="24"/>
                <w:szCs w:val="24"/>
              </w:rPr>
              <w:instrText xml:space="preserve"> PAGEREF _Toc225839456 \h </w:instrText>
            </w:r>
            <w:r w:rsidR="008652B1" w:rsidRPr="00FE4424">
              <w:rPr>
                <w:rFonts w:cstheme="minorHAnsi"/>
                <w:noProof/>
                <w:webHidden/>
                <w:sz w:val="24"/>
                <w:szCs w:val="24"/>
              </w:rPr>
            </w:r>
            <w:r w:rsidR="008652B1" w:rsidRPr="00FE4424">
              <w:rPr>
                <w:rFonts w:cstheme="minorHAnsi"/>
                <w:noProof/>
                <w:webHidden/>
                <w:sz w:val="24"/>
                <w:szCs w:val="24"/>
              </w:rPr>
              <w:fldChar w:fldCharType="separate"/>
            </w:r>
            <w:r w:rsidR="009B3951" w:rsidRPr="00FE4424">
              <w:rPr>
                <w:rFonts w:cstheme="minorHAnsi"/>
                <w:noProof/>
                <w:webHidden/>
                <w:sz w:val="24"/>
                <w:szCs w:val="24"/>
              </w:rPr>
              <w:t>26</w:t>
            </w:r>
            <w:r w:rsidR="008652B1" w:rsidRPr="00FE4424">
              <w:rPr>
                <w:rFonts w:cstheme="minorHAnsi"/>
                <w:noProof/>
                <w:webHidden/>
                <w:sz w:val="24"/>
                <w:szCs w:val="24"/>
              </w:rPr>
              <w:fldChar w:fldCharType="end"/>
            </w:r>
          </w:hyperlink>
        </w:p>
        <w:p w:rsidR="008652B1" w:rsidRPr="00FE4424" w:rsidRDefault="00BC71C5">
          <w:pPr>
            <w:pStyle w:val="Spistreci1"/>
            <w:tabs>
              <w:tab w:val="right" w:leader="dot" w:pos="9062"/>
            </w:tabs>
            <w:rPr>
              <w:rFonts w:eastAsiaTheme="minorEastAsia" w:cstheme="minorHAnsi"/>
              <w:noProof/>
              <w:sz w:val="24"/>
              <w:szCs w:val="24"/>
              <w:lang w:eastAsia="pl-PL"/>
            </w:rPr>
          </w:pPr>
          <w:hyperlink w:anchor="_Toc225839457" w:history="1">
            <w:r w:rsidR="008652B1" w:rsidRPr="00FE4424">
              <w:rPr>
                <w:rStyle w:val="Hipercze"/>
                <w:rFonts w:cstheme="minorHAnsi"/>
                <w:noProof/>
                <w:sz w:val="24"/>
                <w:szCs w:val="24"/>
              </w:rPr>
              <w:t>Pakiet 6.  System elektroanatomiczny do ablacji arytmii złożonych z wykorzystaniem energii prądu o częstotliwości radiowej i elektroporacji do Pracowni Elektroterapii dla DOR -szt. 1</w:t>
            </w:r>
            <w:r w:rsidR="008652B1" w:rsidRPr="00FE4424">
              <w:rPr>
                <w:rFonts w:cstheme="minorHAnsi"/>
                <w:noProof/>
                <w:webHidden/>
                <w:sz w:val="24"/>
                <w:szCs w:val="24"/>
              </w:rPr>
              <w:tab/>
            </w:r>
            <w:r w:rsidR="008652B1" w:rsidRPr="00FE4424">
              <w:rPr>
                <w:rFonts w:cstheme="minorHAnsi"/>
                <w:noProof/>
                <w:webHidden/>
                <w:sz w:val="24"/>
                <w:szCs w:val="24"/>
              </w:rPr>
              <w:fldChar w:fldCharType="begin"/>
            </w:r>
            <w:r w:rsidR="008652B1" w:rsidRPr="00FE4424">
              <w:rPr>
                <w:rFonts w:cstheme="minorHAnsi"/>
                <w:noProof/>
                <w:webHidden/>
                <w:sz w:val="24"/>
                <w:szCs w:val="24"/>
              </w:rPr>
              <w:instrText xml:space="preserve"> PAGEREF _Toc225839457 \h </w:instrText>
            </w:r>
            <w:r w:rsidR="008652B1" w:rsidRPr="00FE4424">
              <w:rPr>
                <w:rFonts w:cstheme="minorHAnsi"/>
                <w:noProof/>
                <w:webHidden/>
                <w:sz w:val="24"/>
                <w:szCs w:val="24"/>
              </w:rPr>
            </w:r>
            <w:r w:rsidR="008652B1" w:rsidRPr="00FE4424">
              <w:rPr>
                <w:rFonts w:cstheme="minorHAnsi"/>
                <w:noProof/>
                <w:webHidden/>
                <w:sz w:val="24"/>
                <w:szCs w:val="24"/>
              </w:rPr>
              <w:fldChar w:fldCharType="separate"/>
            </w:r>
            <w:r w:rsidR="009B3951" w:rsidRPr="00FE4424">
              <w:rPr>
                <w:rFonts w:cstheme="minorHAnsi"/>
                <w:noProof/>
                <w:webHidden/>
                <w:sz w:val="24"/>
                <w:szCs w:val="24"/>
              </w:rPr>
              <w:t>32</w:t>
            </w:r>
            <w:r w:rsidR="008652B1" w:rsidRPr="00FE4424">
              <w:rPr>
                <w:rFonts w:cstheme="minorHAnsi"/>
                <w:noProof/>
                <w:webHidden/>
                <w:sz w:val="24"/>
                <w:szCs w:val="24"/>
              </w:rPr>
              <w:fldChar w:fldCharType="end"/>
            </w:r>
          </w:hyperlink>
        </w:p>
        <w:p w:rsidR="008652B1" w:rsidRPr="00FE4424" w:rsidRDefault="00BC71C5">
          <w:pPr>
            <w:pStyle w:val="Spistreci1"/>
            <w:tabs>
              <w:tab w:val="right" w:leader="dot" w:pos="9062"/>
            </w:tabs>
            <w:rPr>
              <w:rFonts w:eastAsiaTheme="minorEastAsia" w:cstheme="minorHAnsi"/>
              <w:noProof/>
              <w:sz w:val="24"/>
              <w:szCs w:val="24"/>
              <w:lang w:eastAsia="pl-PL"/>
            </w:rPr>
          </w:pPr>
          <w:hyperlink w:anchor="_Toc225839458" w:history="1">
            <w:r w:rsidR="008652B1" w:rsidRPr="00FE4424">
              <w:rPr>
                <w:rStyle w:val="Hipercze"/>
                <w:rFonts w:cstheme="minorHAnsi"/>
                <w:noProof/>
                <w:sz w:val="24"/>
                <w:szCs w:val="24"/>
              </w:rPr>
              <w:t>Pakiet 7.  Activ do świadczeń kończyn górnych i dolnych -szt. 2</w:t>
            </w:r>
            <w:r w:rsidR="008652B1" w:rsidRPr="00FE4424">
              <w:rPr>
                <w:rFonts w:cstheme="minorHAnsi"/>
                <w:noProof/>
                <w:webHidden/>
                <w:sz w:val="24"/>
                <w:szCs w:val="24"/>
              </w:rPr>
              <w:tab/>
            </w:r>
            <w:r w:rsidR="008652B1" w:rsidRPr="00FE4424">
              <w:rPr>
                <w:rFonts w:cstheme="minorHAnsi"/>
                <w:noProof/>
                <w:webHidden/>
                <w:sz w:val="24"/>
                <w:szCs w:val="24"/>
              </w:rPr>
              <w:fldChar w:fldCharType="begin"/>
            </w:r>
            <w:r w:rsidR="008652B1" w:rsidRPr="00FE4424">
              <w:rPr>
                <w:rFonts w:cstheme="minorHAnsi"/>
                <w:noProof/>
                <w:webHidden/>
                <w:sz w:val="24"/>
                <w:szCs w:val="24"/>
              </w:rPr>
              <w:instrText xml:space="preserve"> PAGEREF _Toc225839458 \h </w:instrText>
            </w:r>
            <w:r w:rsidR="008652B1" w:rsidRPr="00FE4424">
              <w:rPr>
                <w:rFonts w:cstheme="minorHAnsi"/>
                <w:noProof/>
                <w:webHidden/>
                <w:sz w:val="24"/>
                <w:szCs w:val="24"/>
              </w:rPr>
            </w:r>
            <w:r w:rsidR="008652B1" w:rsidRPr="00FE4424">
              <w:rPr>
                <w:rFonts w:cstheme="minorHAnsi"/>
                <w:noProof/>
                <w:webHidden/>
                <w:sz w:val="24"/>
                <w:szCs w:val="24"/>
              </w:rPr>
              <w:fldChar w:fldCharType="separate"/>
            </w:r>
            <w:r w:rsidR="009B3951" w:rsidRPr="00FE4424">
              <w:rPr>
                <w:rFonts w:cstheme="minorHAnsi"/>
                <w:noProof/>
                <w:webHidden/>
                <w:sz w:val="24"/>
                <w:szCs w:val="24"/>
              </w:rPr>
              <w:t>35</w:t>
            </w:r>
            <w:r w:rsidR="008652B1" w:rsidRPr="00FE4424">
              <w:rPr>
                <w:rFonts w:cstheme="minorHAnsi"/>
                <w:noProof/>
                <w:webHidden/>
                <w:sz w:val="24"/>
                <w:szCs w:val="24"/>
              </w:rPr>
              <w:fldChar w:fldCharType="end"/>
            </w:r>
          </w:hyperlink>
        </w:p>
        <w:p w:rsidR="008652B1" w:rsidRPr="00FE4424" w:rsidRDefault="00BC71C5">
          <w:pPr>
            <w:pStyle w:val="Spistreci1"/>
            <w:tabs>
              <w:tab w:val="right" w:leader="dot" w:pos="9062"/>
            </w:tabs>
            <w:rPr>
              <w:rFonts w:eastAsiaTheme="minorEastAsia" w:cstheme="minorHAnsi"/>
              <w:noProof/>
              <w:sz w:val="24"/>
              <w:szCs w:val="24"/>
              <w:lang w:eastAsia="pl-PL"/>
            </w:rPr>
          </w:pPr>
          <w:hyperlink w:anchor="_Toc225839459" w:history="1">
            <w:r w:rsidR="008652B1" w:rsidRPr="00FE4424">
              <w:rPr>
                <w:rStyle w:val="Hipercze"/>
                <w:rFonts w:cstheme="minorHAnsi"/>
                <w:noProof/>
                <w:sz w:val="24"/>
                <w:szCs w:val="24"/>
              </w:rPr>
              <w:t>Pakiet 8.  Aparat do hemoperfuzji  -szt. 1</w:t>
            </w:r>
            <w:r w:rsidR="008652B1" w:rsidRPr="00FE4424">
              <w:rPr>
                <w:rFonts w:cstheme="minorHAnsi"/>
                <w:noProof/>
                <w:webHidden/>
                <w:sz w:val="24"/>
                <w:szCs w:val="24"/>
              </w:rPr>
              <w:tab/>
            </w:r>
            <w:r w:rsidR="008652B1" w:rsidRPr="00FE4424">
              <w:rPr>
                <w:rFonts w:cstheme="minorHAnsi"/>
                <w:noProof/>
                <w:webHidden/>
                <w:sz w:val="24"/>
                <w:szCs w:val="24"/>
              </w:rPr>
              <w:fldChar w:fldCharType="begin"/>
            </w:r>
            <w:r w:rsidR="008652B1" w:rsidRPr="00FE4424">
              <w:rPr>
                <w:rFonts w:cstheme="minorHAnsi"/>
                <w:noProof/>
                <w:webHidden/>
                <w:sz w:val="24"/>
                <w:szCs w:val="24"/>
              </w:rPr>
              <w:instrText xml:space="preserve"> PAGEREF _Toc225839459 \h </w:instrText>
            </w:r>
            <w:r w:rsidR="008652B1" w:rsidRPr="00FE4424">
              <w:rPr>
                <w:rFonts w:cstheme="minorHAnsi"/>
                <w:noProof/>
                <w:webHidden/>
                <w:sz w:val="24"/>
                <w:szCs w:val="24"/>
              </w:rPr>
            </w:r>
            <w:r w:rsidR="008652B1" w:rsidRPr="00FE4424">
              <w:rPr>
                <w:rFonts w:cstheme="minorHAnsi"/>
                <w:noProof/>
                <w:webHidden/>
                <w:sz w:val="24"/>
                <w:szCs w:val="24"/>
              </w:rPr>
              <w:fldChar w:fldCharType="separate"/>
            </w:r>
            <w:r w:rsidR="009B3951" w:rsidRPr="00FE4424">
              <w:rPr>
                <w:rFonts w:cstheme="minorHAnsi"/>
                <w:noProof/>
                <w:webHidden/>
                <w:sz w:val="24"/>
                <w:szCs w:val="24"/>
              </w:rPr>
              <w:t>38</w:t>
            </w:r>
            <w:r w:rsidR="008652B1" w:rsidRPr="00FE4424">
              <w:rPr>
                <w:rFonts w:cstheme="minorHAnsi"/>
                <w:noProof/>
                <w:webHidden/>
                <w:sz w:val="24"/>
                <w:szCs w:val="24"/>
              </w:rPr>
              <w:fldChar w:fldCharType="end"/>
            </w:r>
          </w:hyperlink>
        </w:p>
        <w:p w:rsidR="008652B1" w:rsidRPr="00FE4424" w:rsidRDefault="00BC71C5">
          <w:pPr>
            <w:pStyle w:val="Spistreci1"/>
            <w:tabs>
              <w:tab w:val="right" w:leader="dot" w:pos="9062"/>
            </w:tabs>
            <w:rPr>
              <w:rFonts w:eastAsiaTheme="minorEastAsia" w:cstheme="minorHAnsi"/>
              <w:noProof/>
              <w:sz w:val="24"/>
              <w:szCs w:val="24"/>
              <w:lang w:eastAsia="pl-PL"/>
            </w:rPr>
          </w:pPr>
          <w:hyperlink w:anchor="_Toc225839460" w:history="1">
            <w:r w:rsidR="008652B1" w:rsidRPr="00FE4424">
              <w:rPr>
                <w:rStyle w:val="Hipercze"/>
                <w:rFonts w:cstheme="minorHAnsi"/>
                <w:noProof/>
                <w:sz w:val="24"/>
                <w:szCs w:val="24"/>
              </w:rPr>
              <w:t>Pakiet 9.  Telemetria  -szt. 1</w:t>
            </w:r>
            <w:r w:rsidR="008652B1" w:rsidRPr="00FE4424">
              <w:rPr>
                <w:rFonts w:cstheme="minorHAnsi"/>
                <w:noProof/>
                <w:webHidden/>
                <w:sz w:val="24"/>
                <w:szCs w:val="24"/>
              </w:rPr>
              <w:tab/>
            </w:r>
            <w:r w:rsidR="008652B1" w:rsidRPr="00FE4424">
              <w:rPr>
                <w:rFonts w:cstheme="minorHAnsi"/>
                <w:noProof/>
                <w:webHidden/>
                <w:sz w:val="24"/>
                <w:szCs w:val="24"/>
              </w:rPr>
              <w:fldChar w:fldCharType="begin"/>
            </w:r>
            <w:r w:rsidR="008652B1" w:rsidRPr="00FE4424">
              <w:rPr>
                <w:rFonts w:cstheme="minorHAnsi"/>
                <w:noProof/>
                <w:webHidden/>
                <w:sz w:val="24"/>
                <w:szCs w:val="24"/>
              </w:rPr>
              <w:instrText xml:space="preserve"> PAGEREF _Toc225839460 \h </w:instrText>
            </w:r>
            <w:r w:rsidR="008652B1" w:rsidRPr="00FE4424">
              <w:rPr>
                <w:rFonts w:cstheme="minorHAnsi"/>
                <w:noProof/>
                <w:webHidden/>
                <w:sz w:val="24"/>
                <w:szCs w:val="24"/>
              </w:rPr>
            </w:r>
            <w:r w:rsidR="008652B1" w:rsidRPr="00FE4424">
              <w:rPr>
                <w:rFonts w:cstheme="minorHAnsi"/>
                <w:noProof/>
                <w:webHidden/>
                <w:sz w:val="24"/>
                <w:szCs w:val="24"/>
              </w:rPr>
              <w:fldChar w:fldCharType="separate"/>
            </w:r>
            <w:r w:rsidR="009B3951" w:rsidRPr="00FE4424">
              <w:rPr>
                <w:rFonts w:cstheme="minorHAnsi"/>
                <w:noProof/>
                <w:webHidden/>
                <w:sz w:val="24"/>
                <w:szCs w:val="24"/>
              </w:rPr>
              <w:t>42</w:t>
            </w:r>
            <w:r w:rsidR="008652B1" w:rsidRPr="00FE4424">
              <w:rPr>
                <w:rFonts w:cstheme="minorHAnsi"/>
                <w:noProof/>
                <w:webHidden/>
                <w:sz w:val="24"/>
                <w:szCs w:val="24"/>
              </w:rPr>
              <w:fldChar w:fldCharType="end"/>
            </w:r>
          </w:hyperlink>
        </w:p>
        <w:p w:rsidR="00320BF8" w:rsidRPr="00FE4424" w:rsidRDefault="00320BF8">
          <w:pPr>
            <w:rPr>
              <w:rFonts w:cstheme="minorHAnsi"/>
              <w:sz w:val="24"/>
              <w:szCs w:val="24"/>
            </w:rPr>
          </w:pPr>
          <w:r w:rsidRPr="00FE4424">
            <w:rPr>
              <w:rFonts w:cstheme="minorHAnsi"/>
              <w:b/>
              <w:bCs/>
              <w:sz w:val="24"/>
              <w:szCs w:val="24"/>
            </w:rPr>
            <w:fldChar w:fldCharType="end"/>
          </w:r>
        </w:p>
      </w:sdtContent>
    </w:sdt>
    <w:p w:rsidR="00320BF8" w:rsidRPr="00FE4424" w:rsidRDefault="00320BF8" w:rsidP="00320BF8">
      <w:pPr>
        <w:pStyle w:val="Nagwek1"/>
        <w:numPr>
          <w:ilvl w:val="0"/>
          <w:numId w:val="0"/>
        </w:numPr>
        <w:rPr>
          <w:rFonts w:asciiTheme="minorHAnsi" w:hAnsiTheme="minorHAnsi" w:cstheme="minorHAnsi"/>
          <w:sz w:val="24"/>
        </w:rPr>
      </w:pPr>
    </w:p>
    <w:p w:rsidR="00320BF8" w:rsidRPr="00FE4424" w:rsidRDefault="00320BF8" w:rsidP="00320BF8">
      <w:pPr>
        <w:pStyle w:val="Nagwek1"/>
        <w:numPr>
          <w:ilvl w:val="0"/>
          <w:numId w:val="0"/>
        </w:numPr>
        <w:rPr>
          <w:rFonts w:asciiTheme="minorHAnsi" w:hAnsiTheme="minorHAnsi" w:cstheme="minorHAnsi"/>
          <w:sz w:val="24"/>
        </w:rPr>
      </w:pPr>
      <w:bookmarkStart w:id="1" w:name="_GoBack"/>
      <w:bookmarkEnd w:id="1"/>
    </w:p>
    <w:p w:rsidR="00320BF8" w:rsidRPr="00FE4424" w:rsidRDefault="00320BF8" w:rsidP="00320BF8">
      <w:pPr>
        <w:pStyle w:val="Nagwek1"/>
        <w:numPr>
          <w:ilvl w:val="0"/>
          <w:numId w:val="0"/>
        </w:numPr>
        <w:rPr>
          <w:rFonts w:asciiTheme="minorHAnsi" w:hAnsiTheme="minorHAnsi" w:cstheme="minorHAnsi"/>
          <w:sz w:val="24"/>
        </w:rPr>
      </w:pPr>
      <w:bookmarkStart w:id="2" w:name="_Toc225839452"/>
      <w:r w:rsidRPr="00FE4424">
        <w:rPr>
          <w:rFonts w:asciiTheme="minorHAnsi" w:hAnsiTheme="minorHAnsi" w:cstheme="minorHAnsi"/>
          <w:noProof/>
          <w:sz w:val="24"/>
        </w:rPr>
        <w:t xml:space="preserve">Pakiet </w:t>
      </w:r>
      <w:r w:rsidR="002C5F1E" w:rsidRPr="00FE4424">
        <w:rPr>
          <w:rFonts w:asciiTheme="minorHAnsi" w:hAnsiTheme="minorHAnsi" w:cstheme="minorHAnsi"/>
          <w:noProof/>
          <w:sz w:val="24"/>
        </w:rPr>
        <w:t>1</w:t>
      </w:r>
      <w:r w:rsidRPr="00FE4424">
        <w:rPr>
          <w:rFonts w:asciiTheme="minorHAnsi" w:hAnsiTheme="minorHAnsi" w:cstheme="minorHAnsi"/>
          <w:noProof/>
          <w:sz w:val="24"/>
        </w:rPr>
        <w:t>.  Respirator transportowy z akumul. -szt. 2</w:t>
      </w:r>
      <w:bookmarkEnd w:id="0"/>
      <w:bookmarkEnd w:id="2"/>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Pełna nazwa urządzenia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Producent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Kraj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Rok produkcji: 2025/2026</w:t>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p>
    <w:tbl>
      <w:tblPr>
        <w:tblW w:w="11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5" w:type="dxa"/>
        </w:tblCellMar>
        <w:tblLook w:val="0000" w:firstRow="0" w:lastRow="0" w:firstColumn="0" w:lastColumn="0" w:noHBand="0" w:noVBand="0"/>
      </w:tblPr>
      <w:tblGrid>
        <w:gridCol w:w="721"/>
        <w:gridCol w:w="4382"/>
        <w:gridCol w:w="1489"/>
        <w:gridCol w:w="1346"/>
        <w:gridCol w:w="1373"/>
        <w:gridCol w:w="1821"/>
      </w:tblGrid>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widowControl w:val="0"/>
              <w:suppressAutoHyphens/>
              <w:spacing w:after="0" w:line="240" w:lineRule="auto"/>
              <w:ind w:left="-49"/>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ind w:left="-49"/>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L.p.</w:t>
            </w:r>
          </w:p>
        </w:tc>
        <w:tc>
          <w:tcPr>
            <w:tcW w:w="4382"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Nazwa i opis parametru lub funkcji urządzenia</w:t>
            </w:r>
          </w:p>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p>
        </w:tc>
        <w:tc>
          <w:tcPr>
            <w:tcW w:w="1489"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wymagany</w:t>
            </w:r>
          </w:p>
        </w:tc>
        <w:tc>
          <w:tcPr>
            <w:tcW w:w="1346"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oferowany</w:t>
            </w:r>
          </w:p>
        </w:tc>
        <w:tc>
          <w:tcPr>
            <w:tcW w:w="1373" w:type="dxa"/>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 xml:space="preserve">Nr strony w mat. </w:t>
            </w:r>
            <w:proofErr w:type="spellStart"/>
            <w:r w:rsidRPr="00FE4424">
              <w:rPr>
                <w:rFonts w:eastAsia="Lucida Sans Unicode" w:cstheme="minorHAnsi"/>
                <w:b/>
                <w:sz w:val="24"/>
                <w:szCs w:val="24"/>
                <w:lang w:eastAsia="zh-CN" w:bidi="hi-IN"/>
              </w:rPr>
              <w:t>infor</w:t>
            </w:r>
            <w:proofErr w:type="spellEnd"/>
            <w:r w:rsidRPr="00FE4424">
              <w:rPr>
                <w:rFonts w:eastAsia="Lucida Sans Unicode" w:cstheme="minorHAnsi"/>
                <w:b/>
                <w:sz w:val="24"/>
                <w:szCs w:val="24"/>
                <w:lang w:eastAsia="zh-CN" w:bidi="hi-IN"/>
              </w:rPr>
              <w:t>. z potwierdzeniem parametru</w:t>
            </w:r>
          </w:p>
        </w:tc>
        <w:tc>
          <w:tcPr>
            <w:tcW w:w="1821"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Ocena</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 xml:space="preserve">Urządzenie fabrycznie nowe, </w:t>
            </w:r>
            <w:proofErr w:type="spellStart"/>
            <w:r w:rsidRPr="00FE4424">
              <w:rPr>
                <w:rFonts w:eastAsiaTheme="minorEastAsia" w:cstheme="minorHAnsi"/>
                <w:sz w:val="24"/>
                <w:szCs w:val="24"/>
              </w:rPr>
              <w:t>nierekondycjonowane</w:t>
            </w:r>
            <w:proofErr w:type="spellEnd"/>
          </w:p>
        </w:tc>
        <w:tc>
          <w:tcPr>
            <w:tcW w:w="1489" w:type="dxa"/>
            <w:shd w:val="clear" w:color="auto" w:fill="auto"/>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spacing w:line="240" w:lineRule="auto"/>
              <w:rPr>
                <w:rFonts w:cstheme="minorHAnsi"/>
                <w:sz w:val="24"/>
                <w:szCs w:val="24"/>
              </w:rPr>
            </w:pPr>
            <w:r w:rsidRPr="00FE4424">
              <w:rPr>
                <w:rFonts w:cstheme="minorHAnsi"/>
                <w:spacing w:val="-5"/>
                <w:sz w:val="24"/>
                <w:szCs w:val="24"/>
              </w:rPr>
              <w:t>Model / typ</w:t>
            </w:r>
          </w:p>
        </w:tc>
        <w:tc>
          <w:tcPr>
            <w:tcW w:w="1489" w:type="dxa"/>
            <w:tcBorders>
              <w:top w:val="nil"/>
              <w:left w:val="single" w:sz="4" w:space="0" w:color="auto"/>
              <w:bottom w:val="single" w:sz="4" w:space="0" w:color="auto"/>
              <w:right w:val="single" w:sz="4" w:space="0" w:color="auto"/>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p w:rsidR="00320BF8" w:rsidRPr="00FE4424" w:rsidRDefault="00320BF8" w:rsidP="00320BF8">
            <w:pPr>
              <w:jc w:val="center"/>
              <w:rPr>
                <w:rFonts w:cstheme="minorHAnsi"/>
                <w:sz w:val="24"/>
                <w:szCs w:val="24"/>
              </w:rPr>
            </w:pPr>
            <w:r w:rsidRPr="00FE4424">
              <w:rPr>
                <w:rFonts w:cstheme="minorHAnsi"/>
                <w:sz w:val="24"/>
                <w:szCs w:val="24"/>
              </w:rPr>
              <w:t>podać</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Wysokiej klasy respirator kliniczno-transportowy dla dorosłych, dzieci, noworodków z kolorowym ekranem min 8”</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Wartość graniczna – 0 pkt, powyżej – 10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Masie max 8 kg</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Wartość graniczna – 0 pkt, powyżej – 10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Możliwość transportu wewnątrz szpitalnego, karetką, powietrznie</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Podstawowe tryby wentylacji: (S)CMV+,SIMV+ , PCV+, PSIMV+,CPAP/SPONT, NIV, NIV-ST oraz ASV - automatyczny adaptacyjny tryb wentylacji w zamkniętej pętli oddechowej z wykorzystaniem pomiaru mechaniki oddechowej</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 xml:space="preserve">Dodatkowe tryby wentylacji: INTELLIVENT-ASV,HIGH FLOW, </w:t>
            </w:r>
            <w:proofErr w:type="spellStart"/>
            <w:r w:rsidRPr="00FE4424">
              <w:rPr>
                <w:rFonts w:cstheme="minorHAnsi"/>
                <w:color w:val="000000"/>
                <w:sz w:val="24"/>
                <w:szCs w:val="24"/>
              </w:rPr>
              <w:t>DuoPAP</w:t>
            </w:r>
            <w:proofErr w:type="spellEnd"/>
            <w:r w:rsidRPr="00FE4424">
              <w:rPr>
                <w:rFonts w:cstheme="minorHAnsi"/>
                <w:color w:val="000000"/>
                <w:sz w:val="24"/>
                <w:szCs w:val="24"/>
              </w:rPr>
              <w:t>/APRV, noworodkowe.</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Nebulizator</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Wydzielony tryb CPR</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Wyzwalanie respiratora przepływowe</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Wentylacja bezdechu</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Oddech ręczny</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Westchnienia automatyczne</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Wyświetlanie krzywych oddechowych, oraz wszystkich parametrów ustawianych i mierzonych. Wizualizacja w czasie rzeczywistym pracy płuc.</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 xml:space="preserve">Kompensacja przecieków i adaptacja do czułości </w:t>
            </w:r>
            <w:proofErr w:type="spellStart"/>
            <w:r w:rsidRPr="00FE4424">
              <w:rPr>
                <w:rFonts w:cstheme="minorHAnsi"/>
                <w:color w:val="000000"/>
                <w:sz w:val="24"/>
                <w:szCs w:val="24"/>
              </w:rPr>
              <w:t>triggera</w:t>
            </w:r>
            <w:proofErr w:type="spellEnd"/>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 xml:space="preserve">Możliwość rozbudowy o pomiar CO2 i SpO2, trendów wszystkich monitorowanych parametrów do 72 godzin, pętli oddechowych, terapię High </w:t>
            </w:r>
            <w:proofErr w:type="spellStart"/>
            <w:r w:rsidRPr="00FE4424">
              <w:rPr>
                <w:rFonts w:cstheme="minorHAnsi"/>
                <w:color w:val="000000"/>
                <w:sz w:val="24"/>
                <w:szCs w:val="24"/>
              </w:rPr>
              <w:t>Flow</w:t>
            </w:r>
            <w:proofErr w:type="spellEnd"/>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Akumulator na 4 godziny pracy</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Możliwość rozbudowy o kolejne 4h – 10 pkt, brak takie możliwości– 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Zasilanie w powietrze z zintegrowanej wysokowydajnej turbiny. W tlen z butli, gazów centralnych, koncentratora</w:t>
            </w:r>
          </w:p>
        </w:tc>
        <w:tc>
          <w:tcPr>
            <w:tcW w:w="1489" w:type="dxa"/>
            <w:tcMar>
              <w:left w:w="60" w:type="dxa"/>
            </w:tcMar>
          </w:tcPr>
          <w:p w:rsidR="00320BF8" w:rsidRPr="00FE4424" w:rsidRDefault="00320BF8" w:rsidP="00320BF8">
            <w:pPr>
              <w:widowControl w:val="0"/>
              <w:snapToGrid w:val="0"/>
              <w:spacing w:after="0" w:line="240" w:lineRule="auto"/>
              <w:jc w:val="center"/>
              <w:rPr>
                <w:rFonts w:cstheme="minorHAnsi"/>
                <w:kern w:val="2"/>
                <w:sz w:val="24"/>
                <w:szCs w:val="24"/>
                <w14:ligatures w14:val="standardContextual"/>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W dniu instalacji szkolenie personelu z obsługi dostarczonych urządzeń</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W dniu instalacji szkolenie osób będących pracownikami Sekcji Aparatury Medycznej w zakresie obsługi serwisowej potwierdzone imiennymi certyfikatami do wykonywania drobnych napraw i przeglądów technicznych dostarczonych urządzeń. Ważność szkolenia – bezterminowo. W dniu instalacji dostarczenie elektronicznej instrukcji serwisowej. Udostępnienie kodów serwisowych  - jeżeli są używane i konieczne do obsługi serwisowej.</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Tak/Nie</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Tak – 10 pkt</w:t>
            </w:r>
          </w:p>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Nie – 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Instrukcja obsługi, instrukcja czyszczenia/dezynfekcji w języku polskim oraz dokumenty: deklaracja zgodności, CE  w wersji zarówno papierowej jak i elektronicznej np. na płycie CD (format PDF) dostarczana na etapie instalacji urządzenia</w:t>
            </w:r>
            <w:r w:rsidRPr="00FE4424">
              <w:rPr>
                <w:rFonts w:cstheme="minorHAnsi"/>
                <w:sz w:val="24"/>
                <w:szCs w:val="24"/>
              </w:rPr>
              <w:tab/>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 okresie gwarancyjnym przeglądy techniczne urządzenia w liczbie,  zakresie i terminie wynikającym z daty uruchomienia zalecanym przez producenta dokonywane w siedzibie Zamawiającego w cenie oferty. Elementy zużywalne wykorzystane do przeglądu technicznego w cenie oferty. Przeglądy powinny być wykonywane z inicjatywy Wykonawcy, ale z uwzględnieniem ustaleń z Zamawiającym.  Obowiązkowy przegląd w ostatnim miesiącu gwarancji. Przesunięcie któregoś z przeglądu z winy Wykonawcy wydłuża okres gwarancji o okres przesunięcia.  W przypadku braku konieczności wykonywania przeglądów technicznych przez Producenta Wykonawca wskaże stosowny zapis w dokumentach producenta urządzenia.</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Liczba przeglądów gwarancyjnych łącznie z przeglądem w ostatnim miesiącu gwarancji</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 podać ilość przeglądów</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Wykaz upoważnionych serwisów urządzenia na teranie Polski zawierający nazwę firmy, adres, telefon, fax. Nazwisko i imię osoby do kontaktu/serwisu (wskazać w materiałach , instrukcji obsługi kto jest upoważniony do wykonywania napraw serwisowych)</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2578B4" w:rsidRPr="00FE4424" w:rsidTr="00320BF8">
        <w:trPr>
          <w:cantSplit/>
          <w:trHeight w:val="112"/>
          <w:jc w:val="center"/>
        </w:trPr>
        <w:tc>
          <w:tcPr>
            <w:tcW w:w="721" w:type="dxa"/>
            <w:shd w:val="clear" w:color="auto" w:fill="auto"/>
            <w:tcMar>
              <w:left w:w="60" w:type="dxa"/>
            </w:tcMar>
          </w:tcPr>
          <w:p w:rsidR="002578B4" w:rsidRPr="00FE4424" w:rsidRDefault="002578B4" w:rsidP="002578B4">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2578B4" w:rsidRPr="00FE4424" w:rsidRDefault="002578B4" w:rsidP="002578B4">
            <w:pPr>
              <w:spacing w:after="0" w:line="240" w:lineRule="auto"/>
              <w:rPr>
                <w:rFonts w:eastAsiaTheme="minorEastAsia" w:cstheme="minorHAnsi"/>
                <w:sz w:val="24"/>
                <w:szCs w:val="24"/>
              </w:rPr>
            </w:pPr>
            <w:r w:rsidRPr="00FE4424">
              <w:rPr>
                <w:rFonts w:eastAsiaTheme="minorEastAsia" w:cstheme="minorHAnsi"/>
                <w:sz w:val="24"/>
                <w:szCs w:val="24"/>
              </w:rPr>
              <w:t xml:space="preserve">Zapewnienie dostępu do części do napraw, serwisu pogwarancyjnego min. 10 lat od daty  odbioru przedmiotu zamówienia . </w:t>
            </w:r>
          </w:p>
          <w:p w:rsidR="002578B4" w:rsidRPr="00FE4424" w:rsidRDefault="002578B4" w:rsidP="002578B4">
            <w:pPr>
              <w:spacing w:after="0" w:line="240" w:lineRule="auto"/>
              <w:rPr>
                <w:rFonts w:eastAsiaTheme="minorEastAsia" w:cstheme="minorHAnsi"/>
                <w:sz w:val="24"/>
                <w:szCs w:val="24"/>
              </w:rPr>
            </w:pPr>
          </w:p>
        </w:tc>
        <w:tc>
          <w:tcPr>
            <w:tcW w:w="1489" w:type="dxa"/>
            <w:tcMar>
              <w:left w:w="60" w:type="dxa"/>
            </w:tcMar>
          </w:tcPr>
          <w:p w:rsidR="002578B4" w:rsidRPr="00FE4424" w:rsidRDefault="002578B4" w:rsidP="002578B4">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c>
          <w:tcPr>
            <w:tcW w:w="1373" w:type="dxa"/>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Gwarancja min. 36 miesięcy</w:t>
            </w:r>
          </w:p>
        </w:tc>
        <w:tc>
          <w:tcPr>
            <w:tcW w:w="1489" w:type="dxa"/>
            <w:tcMar>
              <w:left w:w="60" w:type="dxa"/>
            </w:tcMar>
          </w:tcPr>
          <w:p w:rsidR="00320BF8" w:rsidRPr="00FE4424" w:rsidRDefault="00320BF8" w:rsidP="00320BF8">
            <w:pPr>
              <w:jc w:val="center"/>
              <w:rPr>
                <w:rFonts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spacing w:after="0" w:line="240" w:lineRule="auto"/>
              <w:jc w:val="center"/>
              <w:rPr>
                <w:rFonts w:eastAsiaTheme="minorEastAsia" w:cstheme="minorHAnsi"/>
                <w:sz w:val="24"/>
                <w:szCs w:val="24"/>
              </w:rPr>
            </w:pPr>
          </w:p>
        </w:tc>
        <w:tc>
          <w:tcPr>
            <w:tcW w:w="1373" w:type="dxa"/>
          </w:tcPr>
          <w:p w:rsidR="00320BF8" w:rsidRPr="00FE4424" w:rsidRDefault="00320BF8" w:rsidP="00320BF8">
            <w:pPr>
              <w:spacing w:after="0" w:line="240" w:lineRule="auto"/>
              <w:jc w:val="center"/>
              <w:rPr>
                <w:rFonts w:eastAsiaTheme="minorEastAsia" w:cstheme="minorHAnsi"/>
                <w:sz w:val="24"/>
                <w:szCs w:val="24"/>
              </w:rPr>
            </w:pPr>
          </w:p>
        </w:tc>
        <w:tc>
          <w:tcPr>
            <w:tcW w:w="1821"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36 miesięcy-0 pkt.</w:t>
            </w:r>
          </w:p>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48 miesięcy–10pkt</w:t>
            </w:r>
          </w:p>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60 miesięcy–20pkt</w:t>
            </w:r>
          </w:p>
        </w:tc>
      </w:tr>
    </w:tbl>
    <w:p w:rsidR="00320BF8" w:rsidRPr="00FE4424" w:rsidRDefault="00320BF8" w:rsidP="00320BF8">
      <w:pPr>
        <w:rPr>
          <w:rFonts w:cstheme="minorHAnsi"/>
          <w:sz w:val="24"/>
          <w:szCs w:val="24"/>
        </w:rPr>
      </w:pPr>
    </w:p>
    <w:p w:rsidR="003E6ECF" w:rsidRPr="00FE4424" w:rsidRDefault="003E6ECF">
      <w:pPr>
        <w:rPr>
          <w:rFonts w:cstheme="minorHAnsi"/>
          <w:sz w:val="24"/>
          <w:szCs w:val="24"/>
        </w:rPr>
      </w:pPr>
    </w:p>
    <w:p w:rsidR="00320BF8" w:rsidRPr="00FE4424" w:rsidRDefault="00320BF8">
      <w:pPr>
        <w:rPr>
          <w:rFonts w:cstheme="minorHAnsi"/>
          <w:sz w:val="24"/>
          <w:szCs w:val="24"/>
        </w:rPr>
      </w:pPr>
    </w:p>
    <w:p w:rsidR="00320BF8" w:rsidRPr="00FE4424" w:rsidRDefault="00320BF8" w:rsidP="00320BF8">
      <w:pPr>
        <w:rPr>
          <w:rFonts w:cstheme="minorHAnsi"/>
          <w:sz w:val="24"/>
          <w:szCs w:val="24"/>
        </w:rPr>
      </w:pPr>
    </w:p>
    <w:p w:rsidR="00320BF8" w:rsidRPr="00FE4424" w:rsidRDefault="00320BF8" w:rsidP="00320BF8">
      <w:pPr>
        <w:pStyle w:val="Nagwek1"/>
        <w:numPr>
          <w:ilvl w:val="0"/>
          <w:numId w:val="0"/>
        </w:numPr>
        <w:rPr>
          <w:rFonts w:asciiTheme="minorHAnsi" w:hAnsiTheme="minorHAnsi" w:cstheme="minorHAnsi"/>
          <w:sz w:val="24"/>
        </w:rPr>
      </w:pPr>
      <w:bookmarkStart w:id="3" w:name="_Toc221092093"/>
      <w:bookmarkStart w:id="4" w:name="_Toc225839453"/>
      <w:r w:rsidRPr="00FE4424">
        <w:rPr>
          <w:rFonts w:asciiTheme="minorHAnsi" w:hAnsiTheme="minorHAnsi" w:cstheme="minorHAnsi"/>
          <w:noProof/>
          <w:sz w:val="24"/>
        </w:rPr>
        <w:t xml:space="preserve">Pakiet </w:t>
      </w:r>
      <w:r w:rsidR="002C5F1E" w:rsidRPr="00FE4424">
        <w:rPr>
          <w:rFonts w:asciiTheme="minorHAnsi" w:hAnsiTheme="minorHAnsi" w:cstheme="minorHAnsi"/>
          <w:noProof/>
          <w:sz w:val="24"/>
        </w:rPr>
        <w:t>2</w:t>
      </w:r>
      <w:r w:rsidRPr="00FE4424">
        <w:rPr>
          <w:rFonts w:asciiTheme="minorHAnsi" w:hAnsiTheme="minorHAnsi" w:cstheme="minorHAnsi"/>
          <w:noProof/>
          <w:sz w:val="24"/>
        </w:rPr>
        <w:t>.  Zestaw infuzyjny w konfiguracji dla Kliniki Kardiologii -szt. 13</w:t>
      </w:r>
      <w:bookmarkEnd w:id="3"/>
      <w:bookmarkEnd w:id="4"/>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Pełna nazwa urządzenia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Producent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Kraj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Rok produkcji: 2025/2026</w:t>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p>
    <w:tbl>
      <w:tblPr>
        <w:tblW w:w="11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5" w:type="dxa"/>
        </w:tblCellMar>
        <w:tblLook w:val="0000" w:firstRow="0" w:lastRow="0" w:firstColumn="0" w:lastColumn="0" w:noHBand="0" w:noVBand="0"/>
      </w:tblPr>
      <w:tblGrid>
        <w:gridCol w:w="721"/>
        <w:gridCol w:w="4382"/>
        <w:gridCol w:w="1489"/>
        <w:gridCol w:w="1346"/>
        <w:gridCol w:w="1373"/>
        <w:gridCol w:w="1821"/>
      </w:tblGrid>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widowControl w:val="0"/>
              <w:suppressAutoHyphens/>
              <w:spacing w:after="0" w:line="240" w:lineRule="auto"/>
              <w:ind w:left="-49"/>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ind w:left="-49"/>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L.p.</w:t>
            </w:r>
          </w:p>
        </w:tc>
        <w:tc>
          <w:tcPr>
            <w:tcW w:w="4382"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Nazwa i opis parametru lub funkcji urządzenia</w:t>
            </w:r>
          </w:p>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p>
        </w:tc>
        <w:tc>
          <w:tcPr>
            <w:tcW w:w="1489"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wymagany</w:t>
            </w:r>
          </w:p>
        </w:tc>
        <w:tc>
          <w:tcPr>
            <w:tcW w:w="1346"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oferowany</w:t>
            </w:r>
          </w:p>
        </w:tc>
        <w:tc>
          <w:tcPr>
            <w:tcW w:w="1373" w:type="dxa"/>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 xml:space="preserve">Nr strony w mat. </w:t>
            </w:r>
            <w:proofErr w:type="spellStart"/>
            <w:r w:rsidRPr="00FE4424">
              <w:rPr>
                <w:rFonts w:eastAsia="Lucida Sans Unicode" w:cstheme="minorHAnsi"/>
                <w:b/>
                <w:sz w:val="24"/>
                <w:szCs w:val="24"/>
                <w:lang w:eastAsia="zh-CN" w:bidi="hi-IN"/>
              </w:rPr>
              <w:t>infor</w:t>
            </w:r>
            <w:proofErr w:type="spellEnd"/>
            <w:r w:rsidRPr="00FE4424">
              <w:rPr>
                <w:rFonts w:eastAsia="Lucida Sans Unicode" w:cstheme="minorHAnsi"/>
                <w:b/>
                <w:sz w:val="24"/>
                <w:szCs w:val="24"/>
                <w:lang w:eastAsia="zh-CN" w:bidi="hi-IN"/>
              </w:rPr>
              <w:t>. z potwierdzeniem parametru</w:t>
            </w:r>
          </w:p>
        </w:tc>
        <w:tc>
          <w:tcPr>
            <w:tcW w:w="1821"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Ocena</w:t>
            </w:r>
          </w:p>
        </w:tc>
      </w:tr>
      <w:tr w:rsidR="00320BF8" w:rsidRPr="00FE4424" w:rsidTr="00320BF8">
        <w:trPr>
          <w:cantSplit/>
          <w:trHeight w:val="112"/>
          <w:jc w:val="center"/>
        </w:trPr>
        <w:tc>
          <w:tcPr>
            <w:tcW w:w="721" w:type="dxa"/>
            <w:shd w:val="clear" w:color="auto" w:fill="F2F2F2" w:themeFill="background1" w:themeFillShade="F2"/>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F2F2F2" w:themeFill="background1" w:themeFillShade="F2"/>
            <w:tcMar>
              <w:left w:w="60" w:type="dxa"/>
            </w:tcMar>
          </w:tcPr>
          <w:p w:rsidR="00320BF8" w:rsidRPr="00FE4424" w:rsidRDefault="00320BF8" w:rsidP="00320BF8">
            <w:pPr>
              <w:spacing w:after="0" w:line="240" w:lineRule="auto"/>
              <w:rPr>
                <w:rFonts w:eastAsiaTheme="minorEastAsia" w:cstheme="minorHAnsi"/>
                <w:b/>
                <w:sz w:val="24"/>
                <w:szCs w:val="24"/>
              </w:rPr>
            </w:pPr>
            <w:r w:rsidRPr="00FE4424">
              <w:rPr>
                <w:rFonts w:cstheme="minorHAnsi"/>
                <w:b/>
                <w:color w:val="000000"/>
                <w:sz w:val="24"/>
                <w:szCs w:val="24"/>
              </w:rPr>
              <w:t xml:space="preserve">Pompy infuzyjne </w:t>
            </w:r>
            <w:proofErr w:type="spellStart"/>
            <w:r w:rsidRPr="00FE4424">
              <w:rPr>
                <w:rFonts w:cstheme="minorHAnsi"/>
                <w:b/>
                <w:color w:val="000000"/>
                <w:sz w:val="24"/>
                <w:szCs w:val="24"/>
              </w:rPr>
              <w:t>strzykawkowe</w:t>
            </w:r>
            <w:proofErr w:type="spellEnd"/>
            <w:r w:rsidRPr="00FE4424">
              <w:rPr>
                <w:rFonts w:cstheme="minorHAnsi"/>
                <w:b/>
                <w:color w:val="000000"/>
                <w:sz w:val="24"/>
                <w:szCs w:val="24"/>
              </w:rPr>
              <w:t xml:space="preserve"> szt. 52</w:t>
            </w:r>
          </w:p>
        </w:tc>
        <w:tc>
          <w:tcPr>
            <w:tcW w:w="1489" w:type="dxa"/>
            <w:shd w:val="clear" w:color="auto" w:fill="F2F2F2" w:themeFill="background1" w:themeFillShade="F2"/>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F2F2F2" w:themeFill="background1" w:themeFillShade="F2"/>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shd w:val="clear" w:color="auto" w:fill="F2F2F2" w:themeFill="background1" w:themeFillShade="F2"/>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F2F2F2" w:themeFill="background1" w:themeFillShade="F2"/>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 xml:space="preserve">Urządzenie fabrycznie nowe, </w:t>
            </w:r>
            <w:proofErr w:type="spellStart"/>
            <w:r w:rsidRPr="00FE4424">
              <w:rPr>
                <w:rFonts w:eastAsiaTheme="minorEastAsia" w:cstheme="minorHAnsi"/>
                <w:sz w:val="24"/>
                <w:szCs w:val="24"/>
              </w:rPr>
              <w:t>nierekondycjonowane</w:t>
            </w:r>
            <w:proofErr w:type="spellEnd"/>
          </w:p>
        </w:tc>
        <w:tc>
          <w:tcPr>
            <w:tcW w:w="1489" w:type="dxa"/>
            <w:shd w:val="clear" w:color="auto" w:fill="auto"/>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spacing w:line="240" w:lineRule="auto"/>
              <w:rPr>
                <w:rFonts w:cstheme="minorHAnsi"/>
                <w:sz w:val="24"/>
                <w:szCs w:val="24"/>
              </w:rPr>
            </w:pPr>
            <w:r w:rsidRPr="00FE4424">
              <w:rPr>
                <w:rFonts w:cstheme="minorHAnsi"/>
                <w:spacing w:val="-5"/>
                <w:sz w:val="24"/>
                <w:szCs w:val="24"/>
              </w:rPr>
              <w:t>Model / typ</w:t>
            </w:r>
          </w:p>
        </w:tc>
        <w:tc>
          <w:tcPr>
            <w:tcW w:w="1489"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Tak</w:t>
            </w:r>
          </w:p>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(podać)</w:t>
            </w:r>
          </w:p>
        </w:tc>
        <w:tc>
          <w:tcPr>
            <w:tcW w:w="1346"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spacing w:line="240" w:lineRule="auto"/>
              <w:rPr>
                <w:rFonts w:cstheme="minorHAnsi"/>
                <w:sz w:val="24"/>
                <w:szCs w:val="24"/>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 xml:space="preserve">Zasilanie elektryczne: 100 ÷ 240V (50 / 60 </w:t>
            </w:r>
            <w:proofErr w:type="spellStart"/>
            <w:r w:rsidRPr="00FE4424">
              <w:rPr>
                <w:rFonts w:cstheme="minorHAnsi"/>
                <w:color w:val="000000"/>
                <w:sz w:val="24"/>
                <w:szCs w:val="24"/>
              </w:rPr>
              <w:t>Hz</w:t>
            </w:r>
            <w:proofErr w:type="spellEnd"/>
            <w:r w:rsidRPr="00FE4424">
              <w:rPr>
                <w:rFonts w:cstheme="minorHAnsi"/>
                <w:color w:val="000000"/>
                <w:sz w:val="24"/>
                <w:szCs w:val="24"/>
              </w:rPr>
              <w:t>) AC</w:t>
            </w:r>
          </w:p>
        </w:tc>
        <w:tc>
          <w:tcPr>
            <w:tcW w:w="1489" w:type="dxa"/>
            <w:tcMar>
              <w:left w:w="60" w:type="dxa"/>
            </w:tcMar>
          </w:tcPr>
          <w:p w:rsidR="00320BF8" w:rsidRPr="00FE4424" w:rsidRDefault="00320BF8" w:rsidP="00320BF8">
            <w:pPr>
              <w:widowControl w:val="0"/>
              <w:snapToGrid w:val="0"/>
              <w:spacing w:after="0" w:line="240" w:lineRule="auto"/>
              <w:jc w:val="center"/>
              <w:rPr>
                <w:rFonts w:cstheme="minorHAnsi"/>
                <w:kern w:val="2"/>
                <w:sz w:val="24"/>
                <w:szCs w:val="24"/>
                <w14:ligatures w14:val="standardContextual"/>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proofErr w:type="spellStart"/>
            <w:r w:rsidRPr="00FE4424">
              <w:rPr>
                <w:rFonts w:eastAsiaTheme="minorEastAsia" w:cstheme="minorHAnsi"/>
                <w:sz w:val="24"/>
                <w:szCs w:val="24"/>
              </w:rPr>
              <w:t>Autotest</w:t>
            </w:r>
            <w:proofErr w:type="spellEnd"/>
            <w:r w:rsidRPr="00FE4424">
              <w:rPr>
                <w:rFonts w:eastAsiaTheme="minorEastAsia" w:cstheme="minorHAnsi"/>
                <w:sz w:val="24"/>
                <w:szCs w:val="24"/>
              </w:rPr>
              <w:t xml:space="preserve"> urządzenia przy uruchamianiu</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Borders>
              <w:top w:val="single" w:sz="4" w:space="0" w:color="000001"/>
              <w:left w:val="single" w:sz="4" w:space="0" w:color="000001"/>
              <w:bottom w:val="single" w:sz="4" w:space="0" w:color="000001"/>
            </w:tcBorders>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Szybkość infuzji ustawiana w zakresie nie gorszej niż:</w:t>
            </w:r>
          </w:p>
          <w:p w:rsidR="00320BF8" w:rsidRPr="00FE4424" w:rsidRDefault="00320BF8" w:rsidP="00320BF8">
            <w:pPr>
              <w:spacing w:after="0" w:line="240" w:lineRule="auto"/>
              <w:rPr>
                <w:rFonts w:cstheme="minorHAnsi"/>
                <w:sz w:val="24"/>
                <w:szCs w:val="24"/>
              </w:rPr>
            </w:pPr>
            <w:r w:rsidRPr="00FE4424">
              <w:rPr>
                <w:rFonts w:cstheme="minorHAnsi"/>
                <w:sz w:val="24"/>
                <w:szCs w:val="24"/>
              </w:rPr>
              <w:t>- co 0,01 ml/h w zakresie 0,1–9,99ml/h,</w:t>
            </w:r>
          </w:p>
          <w:p w:rsidR="00320BF8" w:rsidRPr="00FE4424" w:rsidRDefault="00320BF8" w:rsidP="00320BF8">
            <w:pPr>
              <w:spacing w:after="0" w:line="240" w:lineRule="auto"/>
              <w:rPr>
                <w:rFonts w:cstheme="minorHAnsi"/>
                <w:sz w:val="24"/>
                <w:szCs w:val="24"/>
              </w:rPr>
            </w:pPr>
            <w:r w:rsidRPr="00FE4424">
              <w:rPr>
                <w:rFonts w:cstheme="minorHAnsi"/>
                <w:sz w:val="24"/>
                <w:szCs w:val="24"/>
              </w:rPr>
              <w:t>- co 1 ml/h w zakresie 100– 1200 ml/h.</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Dokładność podaży nie gorsza niż  3%</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zmiany prędkości podaży bez konieczności zatrzymywania pracy pompy</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Programowanie objętości całej infuzji.</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monitorowania objętości całej infuzji</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ręcznego ustawiania ciśnienia okluzji - minimum 10 poziomów</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10 poziomów – 0 pkt</w:t>
            </w:r>
          </w:p>
          <w:p w:rsidR="00320BF8" w:rsidRPr="00FE4424" w:rsidRDefault="00320BF8" w:rsidP="00320BF8">
            <w:pPr>
              <w:spacing w:after="0" w:line="240" w:lineRule="auto"/>
              <w:rPr>
                <w:rFonts w:cstheme="minorHAnsi"/>
                <w:sz w:val="24"/>
                <w:szCs w:val="24"/>
              </w:rPr>
            </w:pPr>
            <w:r w:rsidRPr="00FE4424">
              <w:rPr>
                <w:rFonts w:cstheme="minorHAnsi"/>
                <w:sz w:val="24"/>
                <w:szCs w:val="24"/>
              </w:rPr>
              <w:t>&gt;20 poziomów – 10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zablokowania ustawionych parametrów podaży.</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stosowania dawki bolusowej podawanej z dużą szybkości w dowolnym czasie infuzji.</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eastAsia="Batang" w:cstheme="minorHAnsi"/>
                <w:spacing w:val="1"/>
                <w:sz w:val="24"/>
                <w:szCs w:val="24"/>
              </w:rPr>
              <w:t xml:space="preserve">Pompa skalibrowana do pracy ze strzykawkami o objętości 5, 10, 20, </w:t>
            </w:r>
            <w:r w:rsidRPr="00FE4424">
              <w:rPr>
                <w:rFonts w:eastAsia="Batang" w:cstheme="minorHAnsi"/>
                <w:sz w:val="24"/>
                <w:szCs w:val="24"/>
              </w:rPr>
              <w:t xml:space="preserve">30/35 </w:t>
            </w:r>
            <w:r w:rsidRPr="00FE4424">
              <w:rPr>
                <w:rFonts w:eastAsia="Batang" w:cstheme="minorHAnsi"/>
                <w:spacing w:val="1"/>
                <w:sz w:val="24"/>
                <w:szCs w:val="24"/>
              </w:rPr>
              <w:t xml:space="preserve"> i 50/60 ml różnych typów oraz różnych producentów (</w:t>
            </w:r>
            <w:r w:rsidRPr="00FE4424">
              <w:rPr>
                <w:rFonts w:eastAsia="Batang" w:cstheme="minorHAnsi"/>
                <w:sz w:val="24"/>
                <w:szCs w:val="24"/>
              </w:rPr>
              <w:t xml:space="preserve">minimum 4 producentów strzykawek dostępnych na rynku polskim). </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eastAsia="Batang" w:cstheme="minorHAnsi"/>
                <w:spacing w:val="1"/>
                <w:sz w:val="24"/>
                <w:szCs w:val="24"/>
              </w:rPr>
            </w:pPr>
            <w:r w:rsidRPr="00FE4424">
              <w:rPr>
                <w:rFonts w:eastAsia="Batang" w:cstheme="minorHAnsi"/>
                <w:sz w:val="24"/>
                <w:szCs w:val="24"/>
              </w:rPr>
              <w:t>Możliwość dodania strzykawki na życzenie Zamawiającego</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Alfanumeryczny wyświetlacz wskazujący podstawowe parametry pracy:</w:t>
            </w:r>
          </w:p>
          <w:p w:rsidR="00320BF8" w:rsidRPr="00FE4424" w:rsidRDefault="00320BF8" w:rsidP="00320BF8">
            <w:pPr>
              <w:widowControl w:val="0"/>
              <w:numPr>
                <w:ilvl w:val="0"/>
                <w:numId w:val="3"/>
              </w:numPr>
              <w:suppressAutoHyphens/>
              <w:spacing w:after="0" w:line="240" w:lineRule="auto"/>
              <w:ind w:left="0"/>
              <w:rPr>
                <w:rFonts w:cstheme="minorHAnsi"/>
                <w:sz w:val="24"/>
                <w:szCs w:val="24"/>
              </w:rPr>
            </w:pPr>
            <w:r w:rsidRPr="00FE4424">
              <w:rPr>
                <w:rFonts w:cstheme="minorHAnsi"/>
                <w:sz w:val="24"/>
                <w:szCs w:val="24"/>
              </w:rPr>
              <w:t>rodzaj strzykawki,</w:t>
            </w:r>
          </w:p>
          <w:p w:rsidR="00320BF8" w:rsidRPr="00FE4424" w:rsidRDefault="00320BF8" w:rsidP="00320BF8">
            <w:pPr>
              <w:widowControl w:val="0"/>
              <w:numPr>
                <w:ilvl w:val="0"/>
                <w:numId w:val="3"/>
              </w:numPr>
              <w:suppressAutoHyphens/>
              <w:spacing w:after="0" w:line="240" w:lineRule="auto"/>
              <w:ind w:left="0"/>
              <w:rPr>
                <w:rFonts w:cstheme="minorHAnsi"/>
                <w:sz w:val="24"/>
                <w:szCs w:val="24"/>
              </w:rPr>
            </w:pPr>
            <w:r w:rsidRPr="00FE4424">
              <w:rPr>
                <w:rFonts w:cstheme="minorHAnsi"/>
                <w:sz w:val="24"/>
                <w:szCs w:val="24"/>
              </w:rPr>
              <w:t>prawidłowe zamocowanie strzykawki,</w:t>
            </w:r>
          </w:p>
          <w:p w:rsidR="00320BF8" w:rsidRPr="00FE4424" w:rsidRDefault="00320BF8" w:rsidP="00320BF8">
            <w:pPr>
              <w:widowControl w:val="0"/>
              <w:numPr>
                <w:ilvl w:val="0"/>
                <w:numId w:val="3"/>
              </w:numPr>
              <w:suppressAutoHyphens/>
              <w:spacing w:after="0" w:line="240" w:lineRule="auto"/>
              <w:ind w:left="0"/>
              <w:rPr>
                <w:rFonts w:cstheme="minorHAnsi"/>
                <w:sz w:val="24"/>
                <w:szCs w:val="24"/>
              </w:rPr>
            </w:pPr>
            <w:r w:rsidRPr="00FE4424">
              <w:rPr>
                <w:rFonts w:cstheme="minorHAnsi"/>
                <w:sz w:val="24"/>
                <w:szCs w:val="24"/>
              </w:rPr>
              <w:t>prędkość przepływu,</w:t>
            </w:r>
          </w:p>
          <w:p w:rsidR="00320BF8" w:rsidRPr="00FE4424" w:rsidRDefault="00320BF8" w:rsidP="00320BF8">
            <w:pPr>
              <w:widowControl w:val="0"/>
              <w:numPr>
                <w:ilvl w:val="0"/>
                <w:numId w:val="3"/>
              </w:numPr>
              <w:suppressAutoHyphens/>
              <w:spacing w:after="0" w:line="240" w:lineRule="auto"/>
              <w:ind w:left="0"/>
              <w:rPr>
                <w:rFonts w:cstheme="minorHAnsi"/>
                <w:sz w:val="24"/>
                <w:szCs w:val="24"/>
              </w:rPr>
            </w:pPr>
            <w:r w:rsidRPr="00FE4424">
              <w:rPr>
                <w:rFonts w:cstheme="minorHAnsi"/>
                <w:sz w:val="24"/>
                <w:szCs w:val="24"/>
              </w:rPr>
              <w:t>podana objętość,</w:t>
            </w:r>
          </w:p>
          <w:p w:rsidR="00320BF8" w:rsidRPr="00FE4424" w:rsidRDefault="00320BF8" w:rsidP="00320BF8">
            <w:pPr>
              <w:widowControl w:val="0"/>
              <w:numPr>
                <w:ilvl w:val="0"/>
                <w:numId w:val="3"/>
              </w:numPr>
              <w:suppressAutoHyphens/>
              <w:spacing w:after="0" w:line="240" w:lineRule="auto"/>
              <w:ind w:left="0"/>
              <w:rPr>
                <w:rFonts w:cstheme="minorHAnsi"/>
                <w:sz w:val="24"/>
                <w:szCs w:val="24"/>
              </w:rPr>
            </w:pPr>
            <w:r w:rsidRPr="00FE4424">
              <w:rPr>
                <w:rFonts w:cstheme="minorHAnsi"/>
                <w:sz w:val="24"/>
                <w:szCs w:val="24"/>
              </w:rPr>
              <w:t>rodzaj zasilania,</w:t>
            </w:r>
          </w:p>
          <w:p w:rsidR="00320BF8" w:rsidRPr="00FE4424" w:rsidRDefault="00320BF8" w:rsidP="00320BF8">
            <w:pPr>
              <w:widowControl w:val="0"/>
              <w:numPr>
                <w:ilvl w:val="0"/>
                <w:numId w:val="3"/>
              </w:numPr>
              <w:suppressAutoHyphens/>
              <w:spacing w:after="0" w:line="240" w:lineRule="auto"/>
              <w:ind w:left="0"/>
              <w:rPr>
                <w:rFonts w:cstheme="minorHAnsi"/>
                <w:sz w:val="24"/>
                <w:szCs w:val="24"/>
              </w:rPr>
            </w:pPr>
            <w:r w:rsidRPr="00FE4424">
              <w:rPr>
                <w:rFonts w:cstheme="minorHAnsi"/>
                <w:sz w:val="24"/>
                <w:szCs w:val="24"/>
              </w:rPr>
              <w:t>przyczynę alarmu</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Komunikaty na wyświetlaczu podawane w języku polskim.</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Zasilanie sieciowe 230V i akumulatorowe pozwalające na pracę  przez min. 10 godz. przy infuzji 5ml/godz.</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10 h i więcej – 0 pkt, 15 h i więcej – 10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hd w:val="clear" w:color="auto" w:fill="FFFFFF"/>
              <w:spacing w:after="0" w:line="240" w:lineRule="auto"/>
              <w:ind w:firstLine="5"/>
              <w:rPr>
                <w:rFonts w:eastAsia="Batang" w:cstheme="minorHAnsi"/>
                <w:sz w:val="24"/>
                <w:szCs w:val="24"/>
              </w:rPr>
            </w:pPr>
            <w:r w:rsidRPr="00FE4424">
              <w:rPr>
                <w:rFonts w:eastAsia="Batang" w:cstheme="minorHAnsi"/>
                <w:sz w:val="24"/>
                <w:szCs w:val="24"/>
              </w:rPr>
              <w:t>Akustyczno-optyczny system alarmów i ostrzeżeń</w:t>
            </w:r>
          </w:p>
        </w:tc>
        <w:tc>
          <w:tcPr>
            <w:tcW w:w="1489"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hd w:val="clear" w:color="auto" w:fill="FFFFFF"/>
              <w:spacing w:after="0" w:line="240" w:lineRule="auto"/>
              <w:ind w:firstLine="5"/>
              <w:rPr>
                <w:rFonts w:eastAsia="Batang" w:cstheme="minorHAnsi"/>
                <w:sz w:val="24"/>
                <w:szCs w:val="24"/>
              </w:rPr>
            </w:pPr>
            <w:r w:rsidRPr="00FE4424">
              <w:rPr>
                <w:rFonts w:eastAsia="Batang" w:cstheme="minorHAnsi"/>
                <w:sz w:val="24"/>
                <w:szCs w:val="24"/>
              </w:rPr>
              <w:t>Alarm pustej strzykawki</w:t>
            </w:r>
          </w:p>
        </w:tc>
        <w:tc>
          <w:tcPr>
            <w:tcW w:w="1489"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hd w:val="clear" w:color="auto" w:fill="FFFFFF"/>
              <w:spacing w:after="0" w:line="240" w:lineRule="auto"/>
              <w:rPr>
                <w:rFonts w:eastAsia="Batang" w:cstheme="minorHAnsi"/>
                <w:sz w:val="24"/>
                <w:szCs w:val="24"/>
              </w:rPr>
            </w:pPr>
            <w:r w:rsidRPr="00FE4424">
              <w:rPr>
                <w:rFonts w:eastAsia="Batang" w:cstheme="minorHAnsi"/>
                <w:sz w:val="24"/>
                <w:szCs w:val="24"/>
              </w:rPr>
              <w:t>Alarm przypominający</w:t>
            </w:r>
          </w:p>
          <w:p w:rsidR="00320BF8" w:rsidRPr="00FE4424" w:rsidRDefault="00320BF8" w:rsidP="00320BF8">
            <w:pPr>
              <w:shd w:val="clear" w:color="auto" w:fill="FFFFFF"/>
              <w:spacing w:after="0" w:line="240" w:lineRule="auto"/>
              <w:rPr>
                <w:rFonts w:eastAsia="Batang" w:cstheme="minorHAnsi"/>
                <w:sz w:val="24"/>
                <w:szCs w:val="24"/>
              </w:rPr>
            </w:pPr>
            <w:r w:rsidRPr="00FE4424">
              <w:rPr>
                <w:rFonts w:eastAsia="Batang" w:cstheme="minorHAnsi"/>
                <w:sz w:val="24"/>
                <w:szCs w:val="24"/>
              </w:rPr>
              <w:t>–zatrzymana infuzja</w:t>
            </w:r>
          </w:p>
        </w:tc>
        <w:tc>
          <w:tcPr>
            <w:tcW w:w="1489"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hd w:val="clear" w:color="auto" w:fill="FFFFFF"/>
              <w:spacing w:after="0" w:line="240" w:lineRule="auto"/>
              <w:ind w:firstLine="5"/>
              <w:rPr>
                <w:rFonts w:eastAsia="Batang" w:cstheme="minorHAnsi"/>
                <w:sz w:val="24"/>
                <w:szCs w:val="24"/>
              </w:rPr>
            </w:pPr>
            <w:r w:rsidRPr="00FE4424">
              <w:rPr>
                <w:rFonts w:eastAsia="Batang" w:cstheme="minorHAnsi"/>
                <w:sz w:val="24"/>
                <w:szCs w:val="24"/>
              </w:rPr>
              <w:t>Alarm okluzji</w:t>
            </w:r>
          </w:p>
        </w:tc>
        <w:tc>
          <w:tcPr>
            <w:tcW w:w="1489"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hd w:val="clear" w:color="auto" w:fill="FFFFFF"/>
              <w:spacing w:after="0" w:line="240" w:lineRule="auto"/>
              <w:rPr>
                <w:rFonts w:eastAsia="Batang" w:cstheme="minorHAnsi"/>
                <w:sz w:val="24"/>
                <w:szCs w:val="24"/>
              </w:rPr>
            </w:pPr>
            <w:r w:rsidRPr="00FE4424">
              <w:rPr>
                <w:rFonts w:eastAsia="Batang" w:cstheme="minorHAnsi"/>
                <w:sz w:val="24"/>
                <w:szCs w:val="24"/>
              </w:rPr>
              <w:t>Alarm rozłączenia linii – spadku ciśnienia</w:t>
            </w:r>
          </w:p>
        </w:tc>
        <w:tc>
          <w:tcPr>
            <w:tcW w:w="1489"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hd w:val="clear" w:color="auto" w:fill="FFFFFF"/>
              <w:spacing w:after="0" w:line="240" w:lineRule="auto"/>
              <w:rPr>
                <w:rFonts w:eastAsia="Batang" w:cstheme="minorHAnsi"/>
                <w:sz w:val="24"/>
                <w:szCs w:val="24"/>
              </w:rPr>
            </w:pPr>
            <w:r w:rsidRPr="00FE4424">
              <w:rPr>
                <w:rFonts w:eastAsia="Batang" w:cstheme="minorHAnsi"/>
                <w:sz w:val="24"/>
                <w:szCs w:val="24"/>
              </w:rPr>
              <w:t>Alarm rozładowanego akumulatora</w:t>
            </w:r>
          </w:p>
        </w:tc>
        <w:tc>
          <w:tcPr>
            <w:tcW w:w="1489"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eastAsia="Batang" w:cstheme="minorHAnsi"/>
                <w:sz w:val="24"/>
                <w:szCs w:val="24"/>
              </w:rPr>
            </w:pPr>
            <w:r w:rsidRPr="00FE4424">
              <w:rPr>
                <w:rFonts w:eastAsia="Batang" w:cstheme="minorHAnsi"/>
                <w:sz w:val="24"/>
                <w:szCs w:val="24"/>
              </w:rPr>
              <w:t>Alarm wstępny zbliżającego się rozładowania akumulatora</w:t>
            </w:r>
          </w:p>
        </w:tc>
        <w:tc>
          <w:tcPr>
            <w:tcW w:w="1489"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hd w:val="clear" w:color="auto" w:fill="FFFFFF"/>
              <w:spacing w:after="0" w:line="240" w:lineRule="auto"/>
              <w:rPr>
                <w:rFonts w:eastAsia="Batang" w:cstheme="minorHAnsi"/>
                <w:sz w:val="24"/>
                <w:szCs w:val="24"/>
              </w:rPr>
            </w:pPr>
            <w:r w:rsidRPr="00FE4424">
              <w:rPr>
                <w:rFonts w:eastAsia="Batang" w:cstheme="minorHAnsi"/>
                <w:sz w:val="24"/>
                <w:szCs w:val="24"/>
              </w:rPr>
              <w:t>Alarm braku lub źle założonej strzykawki</w:t>
            </w:r>
          </w:p>
        </w:tc>
        <w:tc>
          <w:tcPr>
            <w:tcW w:w="1489"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hd w:val="clear" w:color="auto" w:fill="FFFFFF"/>
              <w:spacing w:after="0" w:line="240" w:lineRule="auto"/>
              <w:rPr>
                <w:rFonts w:eastAsia="Batang" w:cstheme="minorHAnsi"/>
                <w:sz w:val="24"/>
                <w:szCs w:val="24"/>
              </w:rPr>
            </w:pPr>
            <w:r w:rsidRPr="00FE4424">
              <w:rPr>
                <w:rFonts w:eastAsia="Batang" w:cstheme="minorHAnsi"/>
                <w:sz w:val="24"/>
                <w:szCs w:val="24"/>
              </w:rPr>
              <w:t>Alarm otwartego uchwytu komory strzykawki</w:t>
            </w:r>
          </w:p>
        </w:tc>
        <w:tc>
          <w:tcPr>
            <w:tcW w:w="1489"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hd w:val="clear" w:color="auto" w:fill="FFFFFF"/>
              <w:spacing w:after="0" w:line="240" w:lineRule="auto"/>
              <w:rPr>
                <w:rFonts w:eastAsia="Batang" w:cstheme="minorHAnsi"/>
                <w:sz w:val="24"/>
                <w:szCs w:val="24"/>
              </w:rPr>
            </w:pPr>
            <w:r w:rsidRPr="00FE4424">
              <w:rPr>
                <w:rFonts w:eastAsia="Batang" w:cstheme="minorHAnsi"/>
                <w:sz w:val="24"/>
                <w:szCs w:val="24"/>
              </w:rPr>
              <w:t>Alarm informujący o uszkodzeniu sprzętu.</w:t>
            </w:r>
          </w:p>
        </w:tc>
        <w:tc>
          <w:tcPr>
            <w:tcW w:w="1489"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eastAsia="Batang" w:cstheme="minorHAnsi"/>
                <w:sz w:val="24"/>
                <w:szCs w:val="24"/>
              </w:rPr>
            </w:pPr>
            <w:r w:rsidRPr="00FE4424">
              <w:rPr>
                <w:rFonts w:eastAsia="Batang" w:cstheme="minorHAnsi"/>
                <w:sz w:val="24"/>
                <w:szCs w:val="24"/>
              </w:rPr>
              <w:t>Alarm wstępny przed opróżnieniem strzykawki.</w:t>
            </w:r>
          </w:p>
        </w:tc>
        <w:tc>
          <w:tcPr>
            <w:tcW w:w="1489"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eastAsia="Batang" w:cstheme="minorHAnsi"/>
                <w:sz w:val="24"/>
                <w:szCs w:val="24"/>
              </w:rPr>
            </w:pPr>
            <w:r w:rsidRPr="00FE4424">
              <w:rPr>
                <w:rFonts w:eastAsia="Batang" w:cstheme="minorHAnsi"/>
                <w:sz w:val="24"/>
                <w:szCs w:val="24"/>
              </w:rPr>
              <w:t>Alarm wstępny przed końcem infuzji.</w:t>
            </w:r>
          </w:p>
        </w:tc>
        <w:tc>
          <w:tcPr>
            <w:tcW w:w="1489"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533497">
            <w:pPr>
              <w:spacing w:after="0" w:line="240" w:lineRule="auto"/>
              <w:rPr>
                <w:rFonts w:eastAsia="Batang" w:cstheme="minorHAnsi"/>
                <w:sz w:val="24"/>
                <w:szCs w:val="24"/>
              </w:rPr>
            </w:pPr>
            <w:r w:rsidRPr="00FE4424">
              <w:rPr>
                <w:rFonts w:eastAsia="Batang" w:cstheme="minorHAnsi"/>
                <w:sz w:val="24"/>
                <w:szCs w:val="24"/>
              </w:rPr>
              <w:t>Możliwoś</w:t>
            </w:r>
            <w:r w:rsidR="00533497" w:rsidRPr="00FE4424">
              <w:rPr>
                <w:rFonts w:eastAsia="Batang" w:cstheme="minorHAnsi"/>
                <w:sz w:val="24"/>
                <w:szCs w:val="24"/>
              </w:rPr>
              <w:t xml:space="preserve">ć komunikacji przez porty RS232, USB lub </w:t>
            </w:r>
            <w:r w:rsidRPr="00FE4424">
              <w:rPr>
                <w:rFonts w:eastAsia="Batang" w:cstheme="minorHAnsi"/>
                <w:sz w:val="24"/>
                <w:szCs w:val="24"/>
              </w:rPr>
              <w:t>Ethernet</w:t>
            </w:r>
          </w:p>
        </w:tc>
        <w:tc>
          <w:tcPr>
            <w:tcW w:w="1489"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Biblioteka leków, min. 100 leków wraz z protokołami infuzji (domyślne przepływy, dawki, prędkości bolusa, stężenia itp.)</w:t>
            </w:r>
          </w:p>
        </w:tc>
        <w:tc>
          <w:tcPr>
            <w:tcW w:w="1489"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Obudowa zabezpieczająca pompę przed zalaniem, w całości wykonana z materiałów odpornych na korozję</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Mocowanie pompy do statywów oraz stacji dokujących bez konieczności demontowania uchwytu mocującego.</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Masa całkowita pompy max. 2,5 kg</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napToGrid w:val="0"/>
              <w:spacing w:after="0" w:line="240" w:lineRule="auto"/>
              <w:jc w:val="center"/>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Strzykawka montowana od czoła pompy</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jc w:val="center"/>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Pełne mocowanie strzykawki możliwe zarówno przy włączonej jak i wyłączonej pompie – system obsługiwany całkowicie manualnie</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jc w:val="center"/>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programowania infuzji z nazwą leku</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jc w:val="center"/>
              <w:rPr>
                <w:rFonts w:cstheme="minorHAnsi"/>
                <w:sz w:val="24"/>
                <w:szCs w:val="24"/>
              </w:rPr>
            </w:pPr>
          </w:p>
        </w:tc>
        <w:tc>
          <w:tcPr>
            <w:tcW w:w="1373" w:type="dxa"/>
            <w:tcBorders>
              <w:top w:val="single" w:sz="4" w:space="0" w:color="000001"/>
              <w:left w:val="single" w:sz="4" w:space="0" w:color="000001"/>
              <w:bottom w:val="single" w:sz="4" w:space="0" w:color="000001"/>
              <w:right w:val="single" w:sz="4" w:space="0" w:color="000001"/>
            </w:tcBorders>
            <w:shd w:val="clear" w:color="auto" w:fill="auto"/>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F2F2F2" w:themeFill="background1" w:themeFillShade="F2"/>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F2F2F2" w:themeFill="background1" w:themeFillShade="F2"/>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Pompy infuzyjne objętościowe szt. 13</w:t>
            </w:r>
          </w:p>
        </w:tc>
        <w:tc>
          <w:tcPr>
            <w:tcW w:w="1489" w:type="dxa"/>
            <w:shd w:val="clear" w:color="auto" w:fill="F2F2F2" w:themeFill="background1" w:themeFillShade="F2"/>
            <w:tcMar>
              <w:left w:w="60" w:type="dxa"/>
            </w:tcMar>
          </w:tcPr>
          <w:p w:rsidR="00320BF8" w:rsidRPr="00FE4424" w:rsidRDefault="00320BF8" w:rsidP="00320BF8">
            <w:pPr>
              <w:widowControl w:val="0"/>
              <w:snapToGrid w:val="0"/>
              <w:spacing w:after="0" w:line="240" w:lineRule="auto"/>
              <w:jc w:val="center"/>
              <w:rPr>
                <w:rFonts w:cstheme="minorHAnsi"/>
                <w:kern w:val="2"/>
                <w:sz w:val="24"/>
                <w:szCs w:val="24"/>
                <w14:ligatures w14:val="standardContextual"/>
              </w:rPr>
            </w:pPr>
            <w:r w:rsidRPr="00FE4424">
              <w:rPr>
                <w:rFonts w:cstheme="minorHAnsi"/>
                <w:kern w:val="2"/>
                <w:sz w:val="24"/>
                <w:szCs w:val="24"/>
                <w14:ligatures w14:val="standardContextual"/>
              </w:rPr>
              <w:t>Tak</w:t>
            </w:r>
          </w:p>
        </w:tc>
        <w:tc>
          <w:tcPr>
            <w:tcW w:w="1346" w:type="dxa"/>
            <w:shd w:val="clear" w:color="auto" w:fill="F2F2F2" w:themeFill="background1" w:themeFillShade="F2"/>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shd w:val="clear" w:color="auto" w:fill="F2F2F2" w:themeFill="background1" w:themeFillShade="F2"/>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F2F2F2" w:themeFill="background1" w:themeFillShade="F2"/>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 xml:space="preserve">Urządzenie fabrycznie nowe, </w:t>
            </w:r>
            <w:proofErr w:type="spellStart"/>
            <w:r w:rsidRPr="00FE4424">
              <w:rPr>
                <w:rFonts w:eastAsiaTheme="minorEastAsia" w:cstheme="minorHAnsi"/>
                <w:sz w:val="24"/>
                <w:szCs w:val="24"/>
              </w:rPr>
              <w:t>nierekondycjonowane</w:t>
            </w:r>
            <w:proofErr w:type="spellEnd"/>
          </w:p>
        </w:tc>
        <w:tc>
          <w:tcPr>
            <w:tcW w:w="1489" w:type="dxa"/>
            <w:shd w:val="clear" w:color="auto" w:fill="auto"/>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spacing w:line="240" w:lineRule="auto"/>
              <w:rPr>
                <w:rFonts w:cstheme="minorHAnsi"/>
                <w:sz w:val="24"/>
                <w:szCs w:val="24"/>
              </w:rPr>
            </w:pPr>
            <w:r w:rsidRPr="00FE4424">
              <w:rPr>
                <w:rFonts w:cstheme="minorHAnsi"/>
                <w:spacing w:val="-5"/>
                <w:sz w:val="24"/>
                <w:szCs w:val="24"/>
              </w:rPr>
              <w:t>Model / typ</w:t>
            </w:r>
          </w:p>
        </w:tc>
        <w:tc>
          <w:tcPr>
            <w:tcW w:w="1489"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Tak</w:t>
            </w:r>
          </w:p>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(podać)</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proofErr w:type="spellStart"/>
            <w:r w:rsidRPr="00FE4424">
              <w:rPr>
                <w:rFonts w:eastAsiaTheme="minorEastAsia" w:cstheme="minorHAnsi"/>
                <w:sz w:val="24"/>
                <w:szCs w:val="24"/>
              </w:rPr>
              <w:t>Autotest</w:t>
            </w:r>
            <w:proofErr w:type="spellEnd"/>
            <w:r w:rsidRPr="00FE4424">
              <w:rPr>
                <w:rFonts w:eastAsiaTheme="minorEastAsia" w:cstheme="minorHAnsi"/>
                <w:sz w:val="24"/>
                <w:szCs w:val="24"/>
              </w:rPr>
              <w:t xml:space="preserve"> urządzenia przy uruchamianiu</w:t>
            </w:r>
          </w:p>
        </w:tc>
        <w:tc>
          <w:tcPr>
            <w:tcW w:w="1489" w:type="dxa"/>
            <w:tcBorders>
              <w:top w:val="single" w:sz="4" w:space="0" w:color="000001"/>
              <w:left w:val="single" w:sz="4" w:space="0" w:color="000001"/>
              <w:bottom w:val="single" w:sz="4" w:space="0" w:color="000001"/>
            </w:tcBorders>
            <w:shd w:val="clear" w:color="auto" w:fill="auto"/>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1"/>
              <w:left w:val="single" w:sz="4" w:space="0" w:color="000001"/>
              <w:bottom w:val="single" w:sz="4" w:space="0" w:color="000001"/>
            </w:tcBorders>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Borders>
              <w:top w:val="single" w:sz="4" w:space="0" w:color="000001"/>
              <w:left w:val="single" w:sz="4" w:space="0" w:color="000001"/>
              <w:bottom w:val="single" w:sz="4" w:space="0" w:color="000001"/>
            </w:tcBorders>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 xml:space="preserve">Pompa objętościowa do podawania dożylnego i dotętniczego sterowana elektronicznie </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Zasilanie z akumulatora wewnętrznego min. 4 godz. przy przepływie 125 ml/godz.</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Masa pompy wraz z uchwytem mocującym oraz transportowym ≤ 3 kg</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Lucida Sans Unicode" w:cstheme="minorHAnsi"/>
                <w:sz w:val="24"/>
                <w:szCs w:val="24"/>
                <w:lang w:eastAsia="zh-CN" w:bidi="hi-IN"/>
              </w:rPr>
              <w:t>Automatyczne zabezpieczenie przed swobodnym przepływem podczas otwarcia drzwiczek pompy</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Możliwość mocowania pompy do rury pionowej przy pomocy elementu na stałe wbudowanego w pompę.</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Możliwość mocowania pompy do szyny poziomej przy pomocy elementu na stałe wbudowanego w pompę.</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pacing w:val="2"/>
                <w:sz w:val="24"/>
                <w:szCs w:val="24"/>
                <w:lang w:eastAsia="zh-CN" w:bidi="hi-IN"/>
              </w:rPr>
            </w:pPr>
            <w:r w:rsidRPr="00FE4424">
              <w:rPr>
                <w:rFonts w:eastAsia="Batang" w:cstheme="minorHAnsi"/>
                <w:spacing w:val="2"/>
                <w:sz w:val="24"/>
                <w:szCs w:val="24"/>
                <w:lang w:eastAsia="zh-CN" w:bidi="hi-IN"/>
              </w:rPr>
              <w:t>Ręczne (nieautomatyczne) zamykanie drzwiczek</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pacing w:val="2"/>
                <w:sz w:val="24"/>
                <w:szCs w:val="24"/>
                <w:lang w:eastAsia="zh-CN" w:bidi="hi-IN"/>
              </w:rPr>
            </w:pPr>
            <w:r w:rsidRPr="00FE4424">
              <w:rPr>
                <w:rFonts w:eastAsia="Batang" w:cstheme="minorHAnsi"/>
                <w:spacing w:val="2"/>
                <w:sz w:val="24"/>
                <w:szCs w:val="24"/>
                <w:lang w:eastAsia="zh-CN" w:bidi="hi-IN"/>
              </w:rPr>
              <w:t>Funkcja programowania infuzji bez założonego drenu – przygotowanie pompy na przyjście pacjenta</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color w:val="000000"/>
                <w:spacing w:val="2"/>
                <w:sz w:val="24"/>
                <w:szCs w:val="24"/>
                <w:lang w:eastAsia="zh-CN" w:bidi="hi-IN"/>
              </w:rPr>
              <w:t xml:space="preserve">Automatyczna funkcja </w:t>
            </w:r>
            <w:proofErr w:type="spellStart"/>
            <w:r w:rsidRPr="00FE4424">
              <w:rPr>
                <w:rFonts w:eastAsia="Batang" w:cstheme="minorHAnsi"/>
                <w:color w:val="000000"/>
                <w:spacing w:val="2"/>
                <w:sz w:val="24"/>
                <w:szCs w:val="24"/>
                <w:lang w:eastAsia="zh-CN" w:bidi="hi-IN"/>
              </w:rPr>
              <w:t>antybolus</w:t>
            </w:r>
            <w:proofErr w:type="spellEnd"/>
            <w:r w:rsidRPr="00FE4424">
              <w:rPr>
                <w:rFonts w:eastAsia="Batang" w:cstheme="minorHAnsi"/>
                <w:color w:val="000000"/>
                <w:spacing w:val="2"/>
                <w:sz w:val="24"/>
                <w:szCs w:val="24"/>
                <w:lang w:eastAsia="zh-CN" w:bidi="hi-IN"/>
              </w:rPr>
              <w:t xml:space="preserve"> po okluzji – z</w:t>
            </w:r>
            <w:r w:rsidRPr="00FE4424">
              <w:rPr>
                <w:rFonts w:eastAsia="Batang" w:cstheme="minorHAnsi"/>
                <w:color w:val="000000"/>
                <w:spacing w:val="1"/>
                <w:sz w:val="24"/>
                <w:szCs w:val="24"/>
                <w:lang w:eastAsia="zh-CN" w:bidi="hi-IN"/>
              </w:rPr>
              <w:t xml:space="preserve">abezpieczenie przed podaniem </w:t>
            </w:r>
            <w:r w:rsidRPr="00FE4424">
              <w:rPr>
                <w:rFonts w:eastAsia="Batang" w:cstheme="minorHAnsi"/>
                <w:color w:val="000000"/>
                <w:sz w:val="24"/>
                <w:szCs w:val="24"/>
                <w:lang w:eastAsia="zh-CN" w:bidi="hi-IN"/>
              </w:rPr>
              <w:t>niekontrolowanego bolusa po alarmie okluzji</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Zakres szybkości infuzji przynajmniej  0,1 do 1000 ml/godz.</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Zmiana szybkości infuzji bez konieczności przerywa</w:t>
            </w:r>
          </w:p>
          <w:p w:rsidR="00320BF8" w:rsidRPr="00FE4424" w:rsidRDefault="00320BF8" w:rsidP="00320BF8">
            <w:pPr>
              <w:widowControl w:val="0"/>
              <w:suppressAutoHyphens/>
              <w:spacing w:after="0" w:line="240" w:lineRule="auto"/>
              <w:rPr>
                <w:rFonts w:eastAsia="Batang" w:cstheme="minorHAnsi"/>
                <w:sz w:val="24"/>
                <w:szCs w:val="24"/>
                <w:lang w:eastAsia="zh-CN" w:bidi="hi-IN"/>
              </w:rPr>
            </w:pPr>
            <w:proofErr w:type="spellStart"/>
            <w:r w:rsidRPr="00FE4424">
              <w:rPr>
                <w:rFonts w:eastAsia="Batang" w:cstheme="minorHAnsi"/>
                <w:sz w:val="24"/>
                <w:szCs w:val="24"/>
                <w:lang w:eastAsia="zh-CN" w:bidi="hi-IN"/>
              </w:rPr>
              <w:t>nia</w:t>
            </w:r>
            <w:proofErr w:type="spellEnd"/>
            <w:r w:rsidRPr="00FE4424">
              <w:rPr>
                <w:rFonts w:eastAsia="Batang" w:cstheme="minorHAnsi"/>
                <w:sz w:val="24"/>
                <w:szCs w:val="24"/>
                <w:lang w:eastAsia="zh-CN" w:bidi="hi-IN"/>
              </w:rPr>
              <w:t xml:space="preserve"> wlewu</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Bolus podawany na żądanie, w dowolnym momencie infuzji.</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Regulacja szybkości podaży bolusa minimum 50 – 1000 ml/h</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bCs/>
                <w:sz w:val="24"/>
                <w:szCs w:val="24"/>
                <w:lang w:eastAsia="zh-CN" w:bidi="hi-IN"/>
              </w:rPr>
            </w:pPr>
            <w:r w:rsidRPr="00FE4424">
              <w:rPr>
                <w:rFonts w:eastAsia="Lucida Sans Unicode" w:cstheme="minorHAnsi"/>
                <w:bCs/>
                <w:sz w:val="24"/>
                <w:szCs w:val="24"/>
                <w:lang w:eastAsia="zh-CN" w:bidi="hi-IN"/>
              </w:rPr>
              <w:t>Szerszy zakres – 10 pkt, graniczny – 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Dokładność pompy +/- 5%</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Auto-test uruchamiany automatycznie po założeniu drenu sprawdzający prawidłową pracę pompy w połączeniu z weryfikacją założenia zestawu infuzyjnego – eliminacja ryzyka niekontrolowanego przepływu</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Praca w oparciu o dedykowane linie infuzyjne wyposażone w zastawkę silikonową, nie posiadające w swoim składzie lateksu oraz DEHP</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Wszystkie zestawy współpracujące z pompą wyposażone są w automatycznie blokowany zacisk, zapobiegający swobodnemu przepływowi po otwarciu drzwiczek pompy oraz zacisk rolkowy na drenie</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Mechanizm nie wywołujący hemolizy – dedykowane dreny do transfuzji oraz podaży leków krwiopochodnych</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Funkcja programowania objętości do podania (VTBD) 0,1- 9999 ml</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Funkcja programowania czasu infuzji przynajmniej od 1min. – 168 godzin</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Ciągły pomiar i wizualizacja ciśnienia w linii</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Ustawianie poziomu ciśnienia okluzji – przynajmniej 15 poziomów</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Ciśnienie okluzji programowane w zakresie od 50 – 750 mmHg</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 xml:space="preserve">Funkcja KVO </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Zróżnicowana prędkość KVO programowana przez użytkownika</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Funkcja – przerwa (</w:t>
            </w:r>
            <w:proofErr w:type="spellStart"/>
            <w:r w:rsidRPr="00FE4424">
              <w:rPr>
                <w:rFonts w:eastAsia="Batang" w:cstheme="minorHAnsi"/>
                <w:sz w:val="24"/>
                <w:szCs w:val="24"/>
                <w:lang w:eastAsia="zh-CN" w:bidi="hi-IN"/>
              </w:rPr>
              <w:t>standby</w:t>
            </w:r>
            <w:proofErr w:type="spellEnd"/>
            <w:r w:rsidRPr="00FE4424">
              <w:rPr>
                <w:rFonts w:eastAsia="Batang" w:cstheme="minorHAnsi"/>
                <w:sz w:val="24"/>
                <w:szCs w:val="24"/>
                <w:lang w:eastAsia="zh-CN" w:bidi="hi-IN"/>
              </w:rPr>
              <w:t>) w zakresie od 1min do 24 godz.</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Automatyczne wznowienie infuzji po pauzie – opóźniony start</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 xml:space="preserve">Biblioteka leków, min. 100 leków wraz z protokołami infuzji (domyślne przepływy, dawki, prędkości bolusa, stężenia itp.) </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Funkcja wykrywania powietrza w linii</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Specjalny sposób wyświetlania parametrów dostosowany do pracy przy słabym oświetleniu (tzw. tryb nocny)</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Cs/>
                <w:sz w:val="24"/>
                <w:szCs w:val="24"/>
                <w:lang w:eastAsia="zh-CN" w:bidi="hi-IN"/>
              </w:rPr>
            </w:pPr>
          </w:p>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hd w:val="clear" w:color="auto" w:fill="FFFFFF"/>
              <w:suppressAutoHyphens/>
              <w:spacing w:after="0" w:line="240" w:lineRule="auto"/>
              <w:ind w:firstLine="5"/>
              <w:rPr>
                <w:rFonts w:eastAsia="Batang" w:cstheme="minorHAnsi"/>
                <w:sz w:val="24"/>
                <w:szCs w:val="24"/>
                <w:lang w:eastAsia="zh-CN" w:bidi="hi-IN"/>
              </w:rPr>
            </w:pPr>
            <w:r w:rsidRPr="00FE4424">
              <w:rPr>
                <w:rFonts w:eastAsia="Batang" w:cstheme="minorHAnsi"/>
                <w:color w:val="000000"/>
                <w:sz w:val="24"/>
                <w:szCs w:val="24"/>
                <w:lang w:eastAsia="zh-CN" w:bidi="hi-IN"/>
              </w:rPr>
              <w:t>Akustyczno-optyczny system alarmów i ostrzeżeń</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hd w:val="clear" w:color="auto" w:fill="FFFFFF"/>
              <w:suppressAutoHyphens/>
              <w:spacing w:after="0" w:line="240" w:lineRule="auto"/>
              <w:ind w:firstLine="5"/>
              <w:rPr>
                <w:rFonts w:eastAsia="Batang" w:cstheme="minorHAnsi"/>
                <w:sz w:val="24"/>
                <w:szCs w:val="24"/>
                <w:lang w:eastAsia="zh-CN" w:bidi="hi-IN"/>
              </w:rPr>
            </w:pPr>
            <w:r w:rsidRPr="00FE4424">
              <w:rPr>
                <w:rFonts w:eastAsia="Batang" w:cstheme="minorHAnsi"/>
                <w:color w:val="000000"/>
                <w:sz w:val="24"/>
                <w:szCs w:val="24"/>
                <w:lang w:eastAsia="zh-CN" w:bidi="hi-IN"/>
              </w:rPr>
              <w:t>Alarm okluzji z sygnalizacją miejsca wystąpienia okluzji (przed lub za pompą)</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hd w:val="clear" w:color="auto" w:fill="FFFFFF"/>
              <w:suppressAutoHyphens/>
              <w:spacing w:after="0" w:line="240" w:lineRule="auto"/>
              <w:rPr>
                <w:rFonts w:eastAsia="Batang" w:cstheme="minorHAnsi"/>
                <w:color w:val="000000"/>
                <w:sz w:val="24"/>
                <w:szCs w:val="24"/>
                <w:lang w:eastAsia="zh-CN" w:bidi="hi-IN"/>
              </w:rPr>
            </w:pPr>
            <w:r w:rsidRPr="00FE4424">
              <w:rPr>
                <w:rFonts w:eastAsia="Batang" w:cstheme="minorHAnsi"/>
                <w:color w:val="000000"/>
                <w:sz w:val="24"/>
                <w:szCs w:val="24"/>
                <w:lang w:eastAsia="zh-CN" w:bidi="hi-IN"/>
              </w:rPr>
              <w:t>Alarm rozłączenia linii – spadku ciśnienia</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hd w:val="clear" w:color="auto" w:fill="FFFFFF"/>
              <w:suppressAutoHyphens/>
              <w:spacing w:after="0" w:line="240" w:lineRule="auto"/>
              <w:rPr>
                <w:rFonts w:eastAsia="Batang" w:cstheme="minorHAnsi"/>
                <w:sz w:val="24"/>
                <w:szCs w:val="24"/>
                <w:lang w:eastAsia="zh-CN" w:bidi="hi-IN"/>
              </w:rPr>
            </w:pPr>
            <w:r w:rsidRPr="00FE4424">
              <w:rPr>
                <w:rFonts w:eastAsia="Batang" w:cstheme="minorHAnsi"/>
                <w:color w:val="000000"/>
                <w:sz w:val="24"/>
                <w:szCs w:val="24"/>
                <w:lang w:eastAsia="zh-CN" w:bidi="hi-IN"/>
              </w:rPr>
              <w:t>Alarm rozładowanego akumulatora</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 xml:space="preserve">Alarm wstępny </w:t>
            </w:r>
            <w:r w:rsidRPr="00FE4424">
              <w:rPr>
                <w:rFonts w:eastAsia="Batang" w:cstheme="minorHAnsi"/>
                <w:color w:val="000000"/>
                <w:sz w:val="24"/>
                <w:szCs w:val="24"/>
                <w:lang w:eastAsia="zh-CN" w:bidi="hi-IN"/>
              </w:rPr>
              <w:t>zbliżającego się rozładowania akumulatora</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hd w:val="clear" w:color="auto" w:fill="FFFFFF"/>
              <w:suppressAutoHyphens/>
              <w:spacing w:after="0" w:line="240" w:lineRule="auto"/>
              <w:rPr>
                <w:rFonts w:eastAsia="Batang" w:cstheme="minorHAnsi"/>
                <w:sz w:val="24"/>
                <w:szCs w:val="24"/>
                <w:lang w:eastAsia="zh-CN" w:bidi="hi-IN"/>
              </w:rPr>
            </w:pPr>
            <w:r w:rsidRPr="00FE4424">
              <w:rPr>
                <w:rFonts w:eastAsia="Batang" w:cstheme="minorHAnsi"/>
                <w:color w:val="000000"/>
                <w:sz w:val="24"/>
                <w:szCs w:val="24"/>
                <w:lang w:eastAsia="zh-CN" w:bidi="hi-IN"/>
              </w:rPr>
              <w:t>Alarm braku lub źle założonego zestawu infuzyjnego</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hd w:val="clear" w:color="auto" w:fill="FFFFFF"/>
              <w:suppressAutoHyphens/>
              <w:spacing w:after="0" w:line="240" w:lineRule="auto"/>
              <w:rPr>
                <w:rFonts w:eastAsia="Batang" w:cstheme="minorHAnsi"/>
                <w:sz w:val="24"/>
                <w:szCs w:val="24"/>
                <w:lang w:eastAsia="zh-CN" w:bidi="hi-IN"/>
              </w:rPr>
            </w:pPr>
            <w:r w:rsidRPr="00FE4424">
              <w:rPr>
                <w:rFonts w:eastAsia="Batang" w:cstheme="minorHAnsi"/>
                <w:color w:val="000000"/>
                <w:sz w:val="24"/>
                <w:szCs w:val="24"/>
                <w:lang w:eastAsia="zh-CN" w:bidi="hi-IN"/>
              </w:rPr>
              <w:t>Alarm informujący o uszkodzeniu sprzętu.</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Alarm wstępny przed końcem infuzji z możliwością zaprogramowania czasu przed końcem infuzji, w którym pojawi się alarm</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Alarm powietrza w linii</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Port komunikacji RS232 lub USB lub Ethernet</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Możliwość transmisji danych z pompy, możliwość połączenia w sieć z komputerem centralnym samodzielnie lub przez stację dokującą.</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bCs/>
                <w:sz w:val="24"/>
                <w:szCs w:val="24"/>
                <w:lang w:eastAsia="zh-CN" w:bidi="hi-IN"/>
              </w:rPr>
            </w:pPr>
            <w:r w:rsidRPr="00FE4424">
              <w:rPr>
                <w:rFonts w:eastAsia="Lucida Sans Unicode" w:cstheme="minorHAnsi"/>
                <w:bCs/>
                <w:sz w:val="24"/>
                <w:szCs w:val="24"/>
                <w:lang w:eastAsia="zh-CN" w:bidi="hi-IN"/>
              </w:rPr>
              <w:t>Tak – 10 pkt</w:t>
            </w:r>
          </w:p>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bCs/>
                <w:sz w:val="24"/>
                <w:szCs w:val="24"/>
                <w:lang w:eastAsia="zh-CN" w:bidi="hi-IN"/>
              </w:rPr>
              <w:t>Nie – 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Możliwość łączenia pomp w moduły po 2 szt. zasilane jednym przewodem.</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A"/>
              <w:left w:val="single" w:sz="4" w:space="0" w:color="00000A"/>
              <w:bottom w:val="single" w:sz="4" w:space="0" w:color="00000A"/>
              <w:right w:val="single" w:sz="4" w:space="0" w:color="00000A"/>
            </w:tcBorders>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Dostawa jednorazowych. linii infuzyjnych po 10 szt. do każdej pompy</w:t>
            </w:r>
          </w:p>
        </w:tc>
        <w:tc>
          <w:tcPr>
            <w:tcW w:w="1489"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tcBorders>
              <w:top w:val="single" w:sz="4" w:space="0" w:color="00000A"/>
              <w:left w:val="single" w:sz="4" w:space="0" w:color="00000A"/>
              <w:bottom w:val="single" w:sz="4" w:space="0" w:color="00000A"/>
              <w:right w:val="single" w:sz="4" w:space="0" w:color="00000A"/>
            </w:tcBorders>
            <w:tcMar>
              <w:left w:w="60" w:type="dxa"/>
            </w:tcMar>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373" w:type="dxa"/>
            <w:tcBorders>
              <w:top w:val="single" w:sz="4" w:space="0" w:color="00000A"/>
              <w:left w:val="single" w:sz="4" w:space="0" w:color="00000A"/>
              <w:bottom w:val="single" w:sz="4" w:space="0" w:color="00000A"/>
              <w:right w:val="single" w:sz="4" w:space="0" w:color="00000A"/>
            </w:tcBorders>
          </w:tcPr>
          <w:p w:rsidR="00320BF8" w:rsidRPr="00FE4424" w:rsidRDefault="00320BF8" w:rsidP="00320BF8">
            <w:pPr>
              <w:widowControl w:val="0"/>
              <w:suppressAutoHyphens/>
              <w:spacing w:after="0" w:line="240" w:lineRule="auto"/>
              <w:rPr>
                <w:rFonts w:eastAsia="Lucida Sans Unicode" w:cstheme="minorHAnsi"/>
                <w:b/>
                <w:bCs/>
                <w:sz w:val="24"/>
                <w:szCs w:val="24"/>
                <w:lang w:eastAsia="zh-CN" w:bidi="hi-IN"/>
              </w:rPr>
            </w:pPr>
          </w:p>
        </w:tc>
        <w:tc>
          <w:tcPr>
            <w:tcW w:w="1821" w:type="dxa"/>
            <w:tcBorders>
              <w:top w:val="single" w:sz="4" w:space="0" w:color="000001"/>
              <w:left w:val="single" w:sz="4" w:space="0" w:color="000001"/>
              <w:bottom w:val="single" w:sz="4" w:space="0" w:color="000001"/>
              <w:right w:val="single" w:sz="4" w:space="0" w:color="000001"/>
            </w:tcBorders>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F2F2F2" w:themeFill="background1" w:themeFillShade="F2"/>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F2F2F2" w:themeFill="background1" w:themeFillShade="F2"/>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Stojak ze stacją dokującą 13 szt.</w:t>
            </w:r>
          </w:p>
        </w:tc>
        <w:tc>
          <w:tcPr>
            <w:tcW w:w="1489" w:type="dxa"/>
            <w:shd w:val="clear" w:color="auto" w:fill="F2F2F2" w:themeFill="background1" w:themeFillShade="F2"/>
            <w:tcMar>
              <w:left w:w="60" w:type="dxa"/>
            </w:tcMar>
          </w:tcPr>
          <w:p w:rsidR="00320BF8" w:rsidRPr="00FE4424" w:rsidRDefault="00320BF8" w:rsidP="00320BF8">
            <w:pPr>
              <w:widowControl w:val="0"/>
              <w:snapToGrid w:val="0"/>
              <w:spacing w:after="0" w:line="240" w:lineRule="auto"/>
              <w:jc w:val="center"/>
              <w:rPr>
                <w:rFonts w:cstheme="minorHAnsi"/>
                <w:kern w:val="2"/>
                <w:sz w:val="24"/>
                <w:szCs w:val="24"/>
                <w14:ligatures w14:val="standardContextual"/>
              </w:rPr>
            </w:pPr>
            <w:r w:rsidRPr="00FE4424">
              <w:rPr>
                <w:rFonts w:cstheme="minorHAnsi"/>
                <w:kern w:val="2"/>
                <w:sz w:val="24"/>
                <w:szCs w:val="24"/>
                <w14:ligatures w14:val="standardContextual"/>
              </w:rPr>
              <w:t>Tak</w:t>
            </w:r>
          </w:p>
        </w:tc>
        <w:tc>
          <w:tcPr>
            <w:tcW w:w="1346" w:type="dxa"/>
            <w:shd w:val="clear" w:color="auto" w:fill="F2F2F2" w:themeFill="background1" w:themeFillShade="F2"/>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shd w:val="clear" w:color="auto" w:fill="F2F2F2" w:themeFill="background1" w:themeFillShade="F2"/>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F2F2F2" w:themeFill="background1" w:themeFillShade="F2"/>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Batang" w:cstheme="minorHAnsi"/>
                <w:sz w:val="24"/>
                <w:szCs w:val="24"/>
                <w:lang w:eastAsia="zh-CN" w:bidi="hi-IN"/>
              </w:rPr>
            </w:pPr>
            <w:r w:rsidRPr="00FE4424">
              <w:rPr>
                <w:rFonts w:eastAsia="Batang" w:cstheme="minorHAnsi"/>
                <w:sz w:val="24"/>
                <w:szCs w:val="24"/>
                <w:lang w:eastAsia="zh-CN" w:bidi="hi-IN"/>
              </w:rPr>
              <w:t>Stacja dokującą umożliwiająca połączenie jednym przewodem zasilającym do 8 pomp infuzyjnych. Stacje dokujące zamontowane na przejezdnych, stabilnych  statywach/stojakach. Stojaki jezdne z blokadą kół oraz od góry haczykami na kroplówki. Stacje dokujące wyposażone w komunikację LAN.</w:t>
            </w:r>
          </w:p>
        </w:tc>
        <w:tc>
          <w:tcPr>
            <w:tcW w:w="1489" w:type="dxa"/>
            <w:tcMar>
              <w:left w:w="60" w:type="dxa"/>
            </w:tcMar>
          </w:tcPr>
          <w:p w:rsidR="00320BF8" w:rsidRPr="00FE4424" w:rsidRDefault="00320BF8" w:rsidP="00320BF8">
            <w:pPr>
              <w:widowControl w:val="0"/>
              <w:snapToGrid w:val="0"/>
              <w:spacing w:after="0" w:line="240" w:lineRule="auto"/>
              <w:jc w:val="center"/>
              <w:rPr>
                <w:rFonts w:cstheme="minorHAnsi"/>
                <w:kern w:val="2"/>
                <w:sz w:val="24"/>
                <w:szCs w:val="24"/>
                <w14:ligatures w14:val="standardContextual"/>
              </w:rPr>
            </w:pPr>
            <w:r w:rsidRPr="00FE4424">
              <w:rPr>
                <w:rFonts w:cstheme="minorHAnsi"/>
                <w:kern w:val="2"/>
                <w:sz w:val="24"/>
                <w:szCs w:val="24"/>
                <w14:ligatures w14:val="standardContextual"/>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W dniu instalacji szkolenie personelu z obsługi dostarczonych urządzeń</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W dniu instalacji szkolenie osób będących pracownikami Sekcji Aparatury Medycznej w zakresie obsługi serwisowej potwierdzone imiennymi certyfikatami do wykonywania drobnych napraw i przeglądów technicznych dostarczonych urządzeń. Ważność szkolenia – bezterminowo. W dniu instalacji dostarczenie elektronicznej instrukcji serwisowej. Udostępnienie kodów serwisowych  - jeżeli są używane i konieczne do obsługi serwisowej.</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Tak/Nie</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Tak – 10 pkt</w:t>
            </w:r>
          </w:p>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Nie – 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Instrukcja obsługi, instrukcja czyszczenia/dezynfekcji w języku polskim oraz dokumenty: deklaracja zgodności, CE  w wersji zarówno papierowej jak i elektronicznej np. na płycie CD (format PDF) dostarczana na etapie instalacji urządzenia</w:t>
            </w:r>
            <w:r w:rsidRPr="00FE4424">
              <w:rPr>
                <w:rFonts w:cstheme="minorHAnsi"/>
                <w:sz w:val="24"/>
                <w:szCs w:val="24"/>
              </w:rPr>
              <w:tab/>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 xml:space="preserve">Urządzenia: pompy infuzyjne </w:t>
            </w:r>
            <w:proofErr w:type="spellStart"/>
            <w:r w:rsidRPr="00FE4424">
              <w:rPr>
                <w:rFonts w:eastAsiaTheme="minorEastAsia" w:cstheme="minorHAnsi"/>
                <w:sz w:val="24"/>
                <w:szCs w:val="24"/>
              </w:rPr>
              <w:t>strzykawkowe</w:t>
            </w:r>
            <w:proofErr w:type="spellEnd"/>
            <w:r w:rsidRPr="00FE4424">
              <w:rPr>
                <w:rFonts w:eastAsiaTheme="minorEastAsia" w:cstheme="minorHAnsi"/>
                <w:sz w:val="24"/>
                <w:szCs w:val="24"/>
              </w:rPr>
              <w:t xml:space="preserve"> o częstotliwości wymaganych przez producenta przeglądów co 24 miesiące lub rzadziej</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p w:rsidR="00320BF8" w:rsidRPr="00FE4424" w:rsidRDefault="00320BF8" w:rsidP="00320BF8">
            <w:pPr>
              <w:spacing w:after="0" w:line="240" w:lineRule="auto"/>
              <w:rPr>
                <w:rFonts w:eastAsiaTheme="minorEastAsia" w:cstheme="minorHAnsi"/>
                <w:sz w:val="24"/>
                <w:szCs w:val="24"/>
              </w:rPr>
            </w:pP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Raz na 24 miesiące – 0 pkt</w:t>
            </w:r>
          </w:p>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Raz na 36 miesięcy – 10 pkt</w:t>
            </w:r>
          </w:p>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Raz na 72 miesiące – 40 pkt</w:t>
            </w:r>
          </w:p>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Urządzenia: pompy infuzyjne objętościowe oraz stojaki ze stacją dokującą o częstotliwości wymaganych przez producenta przeglądów co 24 miesiące lub rzadziej</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Raz na 24 miesiące – 0 pkt</w:t>
            </w:r>
          </w:p>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Raz na 36 miesięcy – 20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 okresie gwarancyjnym przeglądy techniczne urządzenia w liczbie,  zakresie i terminie wynikającym z daty uruchomienia zalecanym przez producenta dokonywane w siedzibie Zamawiającego w cenie oferty. Elementy zużywalne wykorzystane do przeglądu technicznego w cenie oferty. Przeglądy powinny być wykonywane z inicjatywy Wykonawcy, ale z uwzględnieniem ustaleń z Zamawiającym.  Obowiązkowy przegląd w ostatnim miesiącu gwarancji. Przesunięcie któregoś z przeglądu z winy Wykonawcy wydłuża okres gwarancji o okres przesunięcia.  W przypadku braku konieczności wykonywania przeglądów technicznych przez Producenta Wykonawca wskaże stosowny zapis w dokumentach producenta urządzenia.</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Liczba przeglądów gwarancyjnych łącznie z przeglądem w ostatnim miesiącu gwarancji</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 podać ilość przeglądów</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Wykaz upoważnionych serwisów urządzenia na teranie Polski zawierający nazwę firmy, adres, telefon, fax. Nazwisko i imię osoby do kontaktu/serwisu (wskazać w materiałach , instrukcji obsługi kto jest upoważniony do wykonywania napraw serwisowych)</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2578B4" w:rsidRPr="00FE4424" w:rsidTr="00320BF8">
        <w:trPr>
          <w:cantSplit/>
          <w:trHeight w:val="112"/>
          <w:jc w:val="center"/>
        </w:trPr>
        <w:tc>
          <w:tcPr>
            <w:tcW w:w="721" w:type="dxa"/>
            <w:shd w:val="clear" w:color="auto" w:fill="auto"/>
            <w:tcMar>
              <w:left w:w="60" w:type="dxa"/>
            </w:tcMar>
          </w:tcPr>
          <w:p w:rsidR="002578B4" w:rsidRPr="00FE4424" w:rsidRDefault="002578B4" w:rsidP="002578B4">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2578B4" w:rsidRPr="00FE4424" w:rsidRDefault="002578B4" w:rsidP="002578B4">
            <w:pPr>
              <w:spacing w:after="0" w:line="240" w:lineRule="auto"/>
              <w:rPr>
                <w:rFonts w:eastAsiaTheme="minorEastAsia" w:cstheme="minorHAnsi"/>
                <w:sz w:val="24"/>
                <w:szCs w:val="24"/>
              </w:rPr>
            </w:pPr>
            <w:r w:rsidRPr="00FE4424">
              <w:rPr>
                <w:rFonts w:eastAsiaTheme="minorEastAsia" w:cstheme="minorHAnsi"/>
                <w:sz w:val="24"/>
                <w:szCs w:val="24"/>
              </w:rPr>
              <w:t xml:space="preserve">Zapewnienie dostępu do części do napraw, serwisu pogwarancyjnego min. 10 lat od daty  odbioru przedmiotu zamówienia . </w:t>
            </w:r>
          </w:p>
          <w:p w:rsidR="002578B4" w:rsidRPr="00FE4424" w:rsidRDefault="002578B4" w:rsidP="002578B4">
            <w:pPr>
              <w:spacing w:after="0" w:line="240" w:lineRule="auto"/>
              <w:rPr>
                <w:rFonts w:eastAsiaTheme="minorEastAsia" w:cstheme="minorHAnsi"/>
                <w:sz w:val="24"/>
                <w:szCs w:val="24"/>
              </w:rPr>
            </w:pPr>
          </w:p>
        </w:tc>
        <w:tc>
          <w:tcPr>
            <w:tcW w:w="1489" w:type="dxa"/>
            <w:tcMar>
              <w:left w:w="60" w:type="dxa"/>
            </w:tcMar>
          </w:tcPr>
          <w:p w:rsidR="002578B4" w:rsidRPr="00FE4424" w:rsidRDefault="002578B4" w:rsidP="002578B4">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c>
          <w:tcPr>
            <w:tcW w:w="1373" w:type="dxa"/>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Gwarancja min. 36 miesięcy</w:t>
            </w:r>
          </w:p>
        </w:tc>
        <w:tc>
          <w:tcPr>
            <w:tcW w:w="1489" w:type="dxa"/>
            <w:tcMar>
              <w:left w:w="60" w:type="dxa"/>
            </w:tcMar>
          </w:tcPr>
          <w:p w:rsidR="00320BF8" w:rsidRPr="00FE4424" w:rsidRDefault="00320BF8" w:rsidP="00320BF8">
            <w:pPr>
              <w:jc w:val="center"/>
              <w:rPr>
                <w:rFonts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spacing w:after="0" w:line="240" w:lineRule="auto"/>
              <w:jc w:val="center"/>
              <w:rPr>
                <w:rFonts w:eastAsiaTheme="minorEastAsia" w:cstheme="minorHAnsi"/>
                <w:sz w:val="24"/>
                <w:szCs w:val="24"/>
              </w:rPr>
            </w:pPr>
          </w:p>
        </w:tc>
        <w:tc>
          <w:tcPr>
            <w:tcW w:w="1373" w:type="dxa"/>
          </w:tcPr>
          <w:p w:rsidR="00320BF8" w:rsidRPr="00FE4424" w:rsidRDefault="00320BF8" w:rsidP="00320BF8">
            <w:pPr>
              <w:spacing w:after="0" w:line="240" w:lineRule="auto"/>
              <w:jc w:val="center"/>
              <w:rPr>
                <w:rFonts w:eastAsiaTheme="minorEastAsia" w:cstheme="minorHAnsi"/>
                <w:sz w:val="24"/>
                <w:szCs w:val="24"/>
              </w:rPr>
            </w:pPr>
          </w:p>
        </w:tc>
        <w:tc>
          <w:tcPr>
            <w:tcW w:w="1821"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36 miesięcy-0 pkt.</w:t>
            </w:r>
          </w:p>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48 miesięcy–10pkt</w:t>
            </w:r>
          </w:p>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60 miesięcy–20pkt</w:t>
            </w:r>
          </w:p>
        </w:tc>
      </w:tr>
    </w:tbl>
    <w:p w:rsidR="00320BF8" w:rsidRPr="00FE4424" w:rsidRDefault="00320BF8" w:rsidP="00320BF8">
      <w:pPr>
        <w:rPr>
          <w:rFonts w:cstheme="minorHAnsi"/>
          <w:sz w:val="24"/>
          <w:szCs w:val="24"/>
        </w:rPr>
      </w:pPr>
    </w:p>
    <w:p w:rsidR="00320BF8" w:rsidRPr="00FE4424" w:rsidRDefault="00320BF8" w:rsidP="00320BF8">
      <w:pPr>
        <w:rPr>
          <w:rFonts w:cstheme="minorHAnsi"/>
          <w:sz w:val="24"/>
          <w:szCs w:val="24"/>
        </w:rPr>
      </w:pPr>
    </w:p>
    <w:p w:rsidR="00320BF8" w:rsidRPr="00FE4424" w:rsidRDefault="00320BF8" w:rsidP="00320BF8">
      <w:pPr>
        <w:rPr>
          <w:rFonts w:cstheme="minorHAnsi"/>
          <w:sz w:val="24"/>
          <w:szCs w:val="24"/>
        </w:rPr>
      </w:pPr>
      <w:r w:rsidRPr="00FE4424">
        <w:rPr>
          <w:rFonts w:cstheme="minorHAnsi"/>
          <w:sz w:val="24"/>
          <w:szCs w:val="24"/>
        </w:rPr>
        <w:br w:type="page"/>
      </w:r>
    </w:p>
    <w:p w:rsidR="00320BF8" w:rsidRPr="00FE4424" w:rsidRDefault="002C5F1E" w:rsidP="00320BF8">
      <w:pPr>
        <w:pStyle w:val="Nagwek1"/>
        <w:numPr>
          <w:ilvl w:val="0"/>
          <w:numId w:val="0"/>
        </w:numPr>
        <w:rPr>
          <w:rFonts w:asciiTheme="minorHAnsi" w:hAnsiTheme="minorHAnsi" w:cstheme="minorHAnsi"/>
          <w:sz w:val="24"/>
        </w:rPr>
      </w:pPr>
      <w:bookmarkStart w:id="5" w:name="_Toc221092095"/>
      <w:bookmarkStart w:id="6" w:name="_Toc225839454"/>
      <w:r w:rsidRPr="00FE4424">
        <w:rPr>
          <w:rFonts w:asciiTheme="minorHAnsi" w:hAnsiTheme="minorHAnsi" w:cstheme="minorHAnsi"/>
          <w:noProof/>
          <w:sz w:val="24"/>
        </w:rPr>
        <w:lastRenderedPageBreak/>
        <w:t>Pakiet 3</w:t>
      </w:r>
      <w:r w:rsidR="00320BF8" w:rsidRPr="00FE4424">
        <w:rPr>
          <w:rFonts w:asciiTheme="minorHAnsi" w:hAnsiTheme="minorHAnsi" w:cstheme="minorHAnsi"/>
          <w:noProof/>
          <w:sz w:val="24"/>
        </w:rPr>
        <w:t>.  Wózek transportowy leżący dla pacjentów -szt. 8</w:t>
      </w:r>
      <w:bookmarkEnd w:id="5"/>
      <w:bookmarkEnd w:id="6"/>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Pełna nazwa urządzenia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Producent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Kraj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Rok produkcji: 2025/2026</w:t>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p>
    <w:tbl>
      <w:tblPr>
        <w:tblW w:w="10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5" w:type="dxa"/>
        </w:tblCellMar>
        <w:tblLook w:val="0000" w:firstRow="0" w:lastRow="0" w:firstColumn="0" w:lastColumn="0" w:noHBand="0" w:noVBand="0"/>
      </w:tblPr>
      <w:tblGrid>
        <w:gridCol w:w="709"/>
        <w:gridCol w:w="4382"/>
        <w:gridCol w:w="1489"/>
        <w:gridCol w:w="1346"/>
        <w:gridCol w:w="1373"/>
        <w:gridCol w:w="1475"/>
      </w:tblGrid>
      <w:tr w:rsidR="00320BF8" w:rsidRPr="00FE4424" w:rsidTr="009B3951">
        <w:trPr>
          <w:cantSplit/>
          <w:trHeight w:val="112"/>
        </w:trPr>
        <w:tc>
          <w:tcPr>
            <w:tcW w:w="709" w:type="dxa"/>
            <w:shd w:val="clear" w:color="auto" w:fill="auto"/>
            <w:tcMar>
              <w:left w:w="60" w:type="dxa"/>
            </w:tcMar>
          </w:tcPr>
          <w:p w:rsidR="00320BF8" w:rsidRPr="00FE4424" w:rsidRDefault="00320BF8" w:rsidP="00320BF8">
            <w:pPr>
              <w:widowControl w:val="0"/>
              <w:suppressAutoHyphens/>
              <w:spacing w:after="0" w:line="240" w:lineRule="auto"/>
              <w:ind w:left="-49"/>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ind w:left="-49"/>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L.p.</w:t>
            </w:r>
          </w:p>
        </w:tc>
        <w:tc>
          <w:tcPr>
            <w:tcW w:w="4382"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Nazwa i opis parametru lub funkcji urządzenia</w:t>
            </w:r>
          </w:p>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p>
        </w:tc>
        <w:tc>
          <w:tcPr>
            <w:tcW w:w="1489"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wymagany</w:t>
            </w:r>
          </w:p>
        </w:tc>
        <w:tc>
          <w:tcPr>
            <w:tcW w:w="1346"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oferowany</w:t>
            </w:r>
          </w:p>
        </w:tc>
        <w:tc>
          <w:tcPr>
            <w:tcW w:w="1373" w:type="dxa"/>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 xml:space="preserve">Nr strony w mat. </w:t>
            </w:r>
            <w:proofErr w:type="spellStart"/>
            <w:r w:rsidRPr="00FE4424">
              <w:rPr>
                <w:rFonts w:eastAsia="Lucida Sans Unicode" w:cstheme="minorHAnsi"/>
                <w:b/>
                <w:sz w:val="24"/>
                <w:szCs w:val="24"/>
                <w:lang w:eastAsia="zh-CN" w:bidi="hi-IN"/>
              </w:rPr>
              <w:t>infor</w:t>
            </w:r>
            <w:proofErr w:type="spellEnd"/>
            <w:r w:rsidRPr="00FE4424">
              <w:rPr>
                <w:rFonts w:eastAsia="Lucida Sans Unicode" w:cstheme="minorHAnsi"/>
                <w:b/>
                <w:sz w:val="24"/>
                <w:szCs w:val="24"/>
                <w:lang w:eastAsia="zh-CN" w:bidi="hi-IN"/>
              </w:rPr>
              <w:t>. z potwierdzeniem parametru</w:t>
            </w:r>
          </w:p>
        </w:tc>
        <w:tc>
          <w:tcPr>
            <w:tcW w:w="1475"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Ocena</w:t>
            </w: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Sprzęt nowy, </w:t>
            </w:r>
            <w:proofErr w:type="spellStart"/>
            <w:r w:rsidRPr="00FE4424">
              <w:rPr>
                <w:rFonts w:cstheme="minorHAnsi"/>
                <w:sz w:val="24"/>
                <w:szCs w:val="24"/>
              </w:rPr>
              <w:t>nierekondycjonowany</w:t>
            </w:r>
            <w:proofErr w:type="spellEnd"/>
            <w:r w:rsidRPr="00FE4424">
              <w:rPr>
                <w:rFonts w:cstheme="minorHAnsi"/>
                <w:sz w:val="24"/>
                <w:szCs w:val="24"/>
              </w:rPr>
              <w:t xml:space="preserve">, niebędący przedmiotem prezentacji czy też demonstracji  </w:t>
            </w:r>
          </w:p>
        </w:tc>
        <w:tc>
          <w:tcPr>
            <w:tcW w:w="1489" w:type="dxa"/>
            <w:shd w:val="clear" w:color="auto" w:fill="auto"/>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Typ/model</w:t>
            </w:r>
          </w:p>
        </w:tc>
        <w:tc>
          <w:tcPr>
            <w:tcW w:w="1489" w:type="dxa"/>
            <w:shd w:val="clear" w:color="auto" w:fill="auto"/>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podać</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Wózek przeznaczony do transportu wewnątrzszpitalnego, wykonany z profili stalowych, lakierowanych proszkowo odpornym na uszkodzenia mechaniczne, chemiczne oraz promieniowanie UV</w:t>
            </w:r>
          </w:p>
        </w:tc>
        <w:tc>
          <w:tcPr>
            <w:tcW w:w="1489" w:type="dxa"/>
            <w:shd w:val="clear" w:color="auto" w:fill="auto"/>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Długość całkowita wózka: 2050 mm/+-20mm</w:t>
            </w:r>
          </w:p>
        </w:tc>
        <w:tc>
          <w:tcPr>
            <w:tcW w:w="1489" w:type="dxa"/>
            <w:shd w:val="clear" w:color="auto" w:fill="auto"/>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Szerokość całkowita wózka z poręczami bocznymi: 800 mm/+-50mm</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Szerokość materaca: 650 mm/+50mm</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Obciążenie wózka min. 250 kg</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Obciążalność wymagana  - 0 pkt. Obciążalność większa -5 pkt.</w:t>
            </w: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Hydrauliczna regulacja wysokości w zakresie 600 – 900/+-150 mm za pomocą dźwigni nożnej</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Płynna regulacja segmentu oparcia pleców min. 60 st.</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Przechył </w:t>
            </w:r>
            <w:proofErr w:type="spellStart"/>
            <w:r w:rsidRPr="00FE4424">
              <w:rPr>
                <w:rFonts w:cstheme="minorHAnsi"/>
                <w:sz w:val="24"/>
                <w:szCs w:val="24"/>
              </w:rPr>
              <w:t>Trendelenburga</w:t>
            </w:r>
            <w:proofErr w:type="spellEnd"/>
            <w:r w:rsidRPr="00FE4424">
              <w:rPr>
                <w:rFonts w:cstheme="minorHAnsi"/>
                <w:sz w:val="24"/>
                <w:szCs w:val="24"/>
              </w:rPr>
              <w:t>: 25</w:t>
            </w:r>
            <w:r w:rsidRPr="00FE4424">
              <w:rPr>
                <w:rFonts w:cstheme="minorHAnsi"/>
                <w:sz w:val="24"/>
                <w:szCs w:val="24"/>
                <w:vertAlign w:val="superscript"/>
              </w:rPr>
              <w:t>0</w:t>
            </w:r>
            <w:r w:rsidRPr="00FE4424">
              <w:rPr>
                <w:rFonts w:cstheme="minorHAnsi"/>
                <w:sz w:val="24"/>
                <w:szCs w:val="24"/>
              </w:rPr>
              <w:t xml:space="preserve"> /+-5</w:t>
            </w:r>
            <w:r w:rsidRPr="00FE4424">
              <w:rPr>
                <w:rFonts w:cstheme="minorHAnsi"/>
                <w:sz w:val="24"/>
                <w:szCs w:val="24"/>
                <w:vertAlign w:val="superscript"/>
              </w:rPr>
              <w:t>0</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Przechył anty -</w:t>
            </w:r>
            <w:proofErr w:type="spellStart"/>
            <w:r w:rsidRPr="00FE4424">
              <w:rPr>
                <w:rFonts w:cstheme="minorHAnsi"/>
                <w:sz w:val="24"/>
                <w:szCs w:val="24"/>
              </w:rPr>
              <w:t>Trendelenburga</w:t>
            </w:r>
            <w:proofErr w:type="spellEnd"/>
            <w:r w:rsidRPr="00FE4424">
              <w:rPr>
                <w:rFonts w:cstheme="minorHAnsi"/>
                <w:sz w:val="24"/>
                <w:szCs w:val="24"/>
              </w:rPr>
              <w:t>: 15</w:t>
            </w:r>
            <w:r w:rsidRPr="00FE4424">
              <w:rPr>
                <w:rFonts w:cstheme="minorHAnsi"/>
                <w:sz w:val="24"/>
                <w:szCs w:val="24"/>
                <w:vertAlign w:val="superscript"/>
              </w:rPr>
              <w:t>0</w:t>
            </w:r>
            <w:r w:rsidRPr="00FE4424">
              <w:rPr>
                <w:rFonts w:cstheme="minorHAnsi"/>
                <w:sz w:val="24"/>
                <w:szCs w:val="24"/>
              </w:rPr>
              <w:t xml:space="preserve"> /+-5</w:t>
            </w:r>
            <w:r w:rsidRPr="00FE4424">
              <w:rPr>
                <w:rFonts w:cstheme="minorHAnsi"/>
                <w:sz w:val="24"/>
                <w:szCs w:val="24"/>
                <w:vertAlign w:val="superscript"/>
              </w:rPr>
              <w:t>0</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Regulacja pozycji </w:t>
            </w:r>
            <w:proofErr w:type="spellStart"/>
            <w:r w:rsidRPr="00FE4424">
              <w:rPr>
                <w:rFonts w:cstheme="minorHAnsi"/>
                <w:sz w:val="24"/>
                <w:szCs w:val="24"/>
              </w:rPr>
              <w:t>Trendelenburga</w:t>
            </w:r>
            <w:proofErr w:type="spellEnd"/>
            <w:r w:rsidRPr="00FE4424">
              <w:rPr>
                <w:rFonts w:cstheme="minorHAnsi"/>
                <w:sz w:val="24"/>
                <w:szCs w:val="24"/>
              </w:rPr>
              <w:t xml:space="preserve"> oraz anty-</w:t>
            </w:r>
            <w:proofErr w:type="spellStart"/>
            <w:r w:rsidRPr="00FE4424">
              <w:rPr>
                <w:rFonts w:cstheme="minorHAnsi"/>
                <w:sz w:val="24"/>
                <w:szCs w:val="24"/>
              </w:rPr>
              <w:t>Trendelenburga</w:t>
            </w:r>
            <w:proofErr w:type="spellEnd"/>
            <w:r w:rsidRPr="00FE4424">
              <w:rPr>
                <w:rFonts w:cstheme="minorHAnsi"/>
                <w:sz w:val="24"/>
                <w:szCs w:val="24"/>
              </w:rPr>
              <w:t xml:space="preserve"> wspomagana sprężynami gazowymi z blokadą.</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Cztery koła jezdne blokowane centralnie w tym jedno z blokadą kierunku</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Dwusegmentowe leże wypełnione płytą umożliwiającą  wykonanie zdjęć RTG oraz przeprowadzanie reanimacji. Możliwość monitorowania klatki piersiowej pacjenta aparatem RTG z ramieniem C</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Wózek zaopatrzony w min. 4 krążki odbojowe</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Materac o grubości 80-100 mm montowany do leża wózka w sposób uniemożliwiający zsuwanie się</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Obszycie materaca wykonane z materiału nieprzemakalnego, umożliwiający dezynfekcję</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Wózek wyposażony w ergonomiczne uchwyty do przetaczania</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Od strony nóg metalowy ogranicznik chroniący przed zsuwaniem się materaca.</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Wyposażenie wózka: </w:t>
            </w:r>
          </w:p>
          <w:p w:rsidR="00320BF8" w:rsidRPr="00FE4424" w:rsidRDefault="00320BF8" w:rsidP="00320BF8">
            <w:pPr>
              <w:spacing w:after="0" w:line="240" w:lineRule="auto"/>
              <w:rPr>
                <w:rFonts w:cstheme="minorHAnsi"/>
                <w:sz w:val="24"/>
                <w:szCs w:val="24"/>
              </w:rPr>
            </w:pPr>
            <w:r w:rsidRPr="00FE4424">
              <w:rPr>
                <w:rFonts w:cstheme="minorHAnsi"/>
                <w:sz w:val="24"/>
                <w:szCs w:val="24"/>
              </w:rPr>
              <w:t>1. dwie chromowane poręcze boczne, składane</w:t>
            </w:r>
          </w:p>
          <w:p w:rsidR="00320BF8" w:rsidRPr="00FE4424" w:rsidRDefault="00320BF8" w:rsidP="00320BF8">
            <w:pPr>
              <w:spacing w:after="0" w:line="240" w:lineRule="auto"/>
              <w:rPr>
                <w:rFonts w:cstheme="minorHAnsi"/>
                <w:sz w:val="24"/>
                <w:szCs w:val="24"/>
              </w:rPr>
            </w:pPr>
            <w:r w:rsidRPr="00FE4424">
              <w:rPr>
                <w:rFonts w:cstheme="minorHAnsi"/>
                <w:sz w:val="24"/>
                <w:szCs w:val="24"/>
              </w:rPr>
              <w:t>2. wieszak na kroplówkę</w:t>
            </w:r>
          </w:p>
          <w:p w:rsidR="00320BF8" w:rsidRPr="00FE4424" w:rsidRDefault="00320BF8" w:rsidP="00320BF8">
            <w:pPr>
              <w:spacing w:after="0" w:line="240" w:lineRule="auto"/>
              <w:rPr>
                <w:rFonts w:cstheme="minorHAnsi"/>
                <w:sz w:val="24"/>
                <w:szCs w:val="24"/>
              </w:rPr>
            </w:pPr>
            <w:r w:rsidRPr="00FE4424">
              <w:rPr>
                <w:rFonts w:cstheme="minorHAnsi"/>
                <w:sz w:val="24"/>
                <w:szCs w:val="24"/>
              </w:rPr>
              <w:t>3. materac, zdejmowany, wykonany z materiału nieprzemakalnego (możliwość wybory wariantu kolorystycznego)</w:t>
            </w:r>
          </w:p>
          <w:p w:rsidR="00320BF8" w:rsidRPr="00FE4424" w:rsidRDefault="00320BF8" w:rsidP="00320BF8">
            <w:pPr>
              <w:spacing w:after="0" w:line="240" w:lineRule="auto"/>
              <w:rPr>
                <w:rFonts w:cstheme="minorHAnsi"/>
                <w:sz w:val="24"/>
                <w:szCs w:val="24"/>
              </w:rPr>
            </w:pPr>
            <w:r w:rsidRPr="00FE4424">
              <w:rPr>
                <w:rFonts w:cstheme="minorHAnsi"/>
                <w:sz w:val="24"/>
                <w:szCs w:val="24"/>
              </w:rPr>
              <w:t>4. pojemnik na podręczne rzeczy pacjenta wykonany z ABS</w:t>
            </w:r>
          </w:p>
          <w:p w:rsidR="00320BF8" w:rsidRPr="00FE4424" w:rsidRDefault="00320BF8" w:rsidP="00320BF8">
            <w:pPr>
              <w:spacing w:after="0" w:line="240" w:lineRule="auto"/>
              <w:rPr>
                <w:rFonts w:cstheme="minorHAnsi"/>
                <w:sz w:val="24"/>
                <w:szCs w:val="24"/>
              </w:rPr>
            </w:pPr>
            <w:r w:rsidRPr="00FE4424">
              <w:rPr>
                <w:rFonts w:cstheme="minorHAnsi"/>
                <w:sz w:val="24"/>
                <w:szCs w:val="24"/>
              </w:rPr>
              <w:t>5. uchwyt na butlę z tlenem</w:t>
            </w:r>
          </w:p>
          <w:p w:rsidR="00320BF8" w:rsidRPr="00FE4424" w:rsidRDefault="00320BF8" w:rsidP="00320BF8">
            <w:pPr>
              <w:spacing w:after="0" w:line="240" w:lineRule="auto"/>
              <w:rPr>
                <w:rFonts w:cstheme="minorHAnsi"/>
                <w:sz w:val="24"/>
                <w:szCs w:val="24"/>
              </w:rPr>
            </w:pPr>
            <w:r w:rsidRPr="00FE4424">
              <w:rPr>
                <w:rFonts w:cstheme="minorHAnsi"/>
                <w:sz w:val="24"/>
                <w:szCs w:val="24"/>
              </w:rPr>
              <w:t>6. uchwyt na prześcieradło papierowe</w:t>
            </w:r>
          </w:p>
          <w:p w:rsidR="00320BF8" w:rsidRPr="00FE4424" w:rsidRDefault="00320BF8" w:rsidP="00320BF8">
            <w:pPr>
              <w:spacing w:after="0" w:line="240" w:lineRule="auto"/>
              <w:rPr>
                <w:rFonts w:cstheme="minorHAnsi"/>
                <w:sz w:val="24"/>
                <w:szCs w:val="24"/>
              </w:rPr>
            </w:pPr>
            <w:r w:rsidRPr="00FE4424">
              <w:rPr>
                <w:rFonts w:cstheme="minorHAnsi"/>
                <w:sz w:val="24"/>
                <w:szCs w:val="24"/>
              </w:rPr>
              <w:t>7. haczyk na worki urologiczne</w:t>
            </w:r>
          </w:p>
          <w:p w:rsidR="00320BF8" w:rsidRPr="00FE4424" w:rsidRDefault="00320BF8" w:rsidP="00320BF8">
            <w:pPr>
              <w:spacing w:after="0" w:line="240" w:lineRule="auto"/>
              <w:rPr>
                <w:rFonts w:cstheme="minorHAnsi"/>
                <w:sz w:val="24"/>
                <w:szCs w:val="24"/>
              </w:rPr>
            </w:pPr>
            <w:r w:rsidRPr="00FE4424">
              <w:rPr>
                <w:rFonts w:cstheme="minorHAnsi"/>
                <w:sz w:val="24"/>
                <w:szCs w:val="24"/>
              </w:rPr>
              <w:t>8. pas zabezpieczający 2 sztuki</w:t>
            </w:r>
          </w:p>
          <w:p w:rsidR="00320BF8" w:rsidRPr="00FE4424" w:rsidRDefault="00320BF8" w:rsidP="00320BF8">
            <w:pPr>
              <w:spacing w:after="0" w:line="240" w:lineRule="auto"/>
              <w:rPr>
                <w:rFonts w:cstheme="minorHAnsi"/>
                <w:sz w:val="24"/>
                <w:szCs w:val="24"/>
              </w:rPr>
            </w:pPr>
            <w:r w:rsidRPr="00FE4424">
              <w:rPr>
                <w:rFonts w:cstheme="minorHAnsi"/>
                <w:sz w:val="24"/>
                <w:szCs w:val="24"/>
              </w:rPr>
              <w:t>9. półka na monitor</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W dniu instalacji szkolenie personelu z obsługi dostarczonych urządzeń</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W dniu instalacji szkolenie osób będących pracownikami Sekcji Aparatury Medycznej w zakresie obsługi serwisowej potwierdzone imiennymi certyfikatami do wykonywania drobnych napraw i przeglądów technicznych dostarczonych urządzeń. Ważność szkolenia – bezterminowo. W dniu instalacji dostarczenie elektronicznej instrukcji serwisowej. Udostępnienie kodów serwisowych  - jeżeli są używane i konieczne do obsługi serwisowej.</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Tak/Nie</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Tak – 10 pkt</w:t>
            </w:r>
          </w:p>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Nie – 0 pkt</w:t>
            </w: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Instrukcja obsługi, instrukcja czyszczenia/dezynfekcji w języku polskim oraz dokumenty: deklaracja zgodności, CE  w wersji zarówno papierowej jak i elektronicznej np. na płycie CD (format PDF) dostarczana na etapie instalacji urządzenia</w:t>
            </w:r>
            <w:r w:rsidRPr="00FE4424">
              <w:rPr>
                <w:rFonts w:cstheme="minorHAnsi"/>
                <w:sz w:val="24"/>
                <w:szCs w:val="24"/>
              </w:rPr>
              <w:tab/>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 okresie gwarancyjnym przeglądy techniczne urządzenia w liczbie,  zakresie i terminie wynikającym z daty uruchomienia zalecanym przez producenta dokonywane w siedzibie Zamawiającego w cenie oferty. Elementy zużywalne wykorzystane do przeglądu technicznego w cenie oferty. Przeglądy powinny być wykonywane z inicjatywy Wykonawcy, ale z uwzględnieniem ustaleń z Zamawiającym.  Obowiązkowy przegląd w ostatnim miesiącu gwarancji. Przesunięcie któregoś z przeglądu z winy Wykonawcy wydłuża okres gwarancji o okres przesunięcia.  W przypadku braku konieczności wykonywania przeglądów technicznych przez Producenta Wykonawca wskaże stosowny zapis w dokumentach producenta urządzenia.</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Liczba przeglądów gwarancyjnych łącznie z przeglądem w ostatnim miesiącu gwarancji</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 podać ilość przeglądów</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Wykaz upoważnionych serwisów urządzenia na teranie Polski zawierający nazwę firmy, adres, telefon, fax. Nazwisko i imię osoby do kontaktu/serwisu (wskazać w materiałach , instrukcji obsługi kto jest upoważniony do wykonywania napraw serwisowych)</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2578B4" w:rsidRPr="00FE4424" w:rsidTr="009B3951">
        <w:trPr>
          <w:cantSplit/>
          <w:trHeight w:val="112"/>
        </w:trPr>
        <w:tc>
          <w:tcPr>
            <w:tcW w:w="709" w:type="dxa"/>
            <w:shd w:val="clear" w:color="auto" w:fill="auto"/>
            <w:tcMar>
              <w:left w:w="60" w:type="dxa"/>
            </w:tcMar>
          </w:tcPr>
          <w:p w:rsidR="002578B4" w:rsidRPr="00FE4424" w:rsidRDefault="002578B4" w:rsidP="002578B4">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2578B4" w:rsidRPr="00FE4424" w:rsidRDefault="002578B4" w:rsidP="002578B4">
            <w:pPr>
              <w:spacing w:after="0" w:line="240" w:lineRule="auto"/>
              <w:rPr>
                <w:rFonts w:eastAsiaTheme="minorEastAsia" w:cstheme="minorHAnsi"/>
                <w:sz w:val="24"/>
                <w:szCs w:val="24"/>
              </w:rPr>
            </w:pPr>
            <w:r w:rsidRPr="00FE4424">
              <w:rPr>
                <w:rFonts w:eastAsiaTheme="minorEastAsia" w:cstheme="minorHAnsi"/>
                <w:sz w:val="24"/>
                <w:szCs w:val="24"/>
              </w:rPr>
              <w:t xml:space="preserve">Zapewnienie dostępu do części do napraw, serwisu pogwarancyjnego min. 10 lat od daty  odbioru przedmiotu zamówienia . </w:t>
            </w:r>
          </w:p>
          <w:p w:rsidR="002578B4" w:rsidRPr="00FE4424" w:rsidRDefault="002578B4" w:rsidP="002578B4">
            <w:pPr>
              <w:spacing w:after="0" w:line="240" w:lineRule="auto"/>
              <w:rPr>
                <w:rFonts w:eastAsiaTheme="minorEastAsia" w:cstheme="minorHAnsi"/>
                <w:sz w:val="24"/>
                <w:szCs w:val="24"/>
              </w:rPr>
            </w:pPr>
          </w:p>
        </w:tc>
        <w:tc>
          <w:tcPr>
            <w:tcW w:w="1489" w:type="dxa"/>
            <w:tcMar>
              <w:left w:w="60" w:type="dxa"/>
            </w:tcMar>
          </w:tcPr>
          <w:p w:rsidR="002578B4" w:rsidRPr="00FE4424" w:rsidRDefault="002578B4" w:rsidP="002578B4">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c>
          <w:tcPr>
            <w:tcW w:w="1373" w:type="dxa"/>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c>
          <w:tcPr>
            <w:tcW w:w="1475" w:type="dxa"/>
            <w:shd w:val="clear" w:color="auto" w:fill="auto"/>
            <w:tcMar>
              <w:left w:w="60" w:type="dxa"/>
            </w:tcMar>
            <w:vAlign w:val="center"/>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09"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Gwarancja min. 24 miesięcy</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spacing w:after="0" w:line="240" w:lineRule="auto"/>
              <w:jc w:val="center"/>
              <w:rPr>
                <w:rFonts w:eastAsiaTheme="minorEastAsia" w:cstheme="minorHAnsi"/>
                <w:sz w:val="24"/>
                <w:szCs w:val="24"/>
              </w:rPr>
            </w:pPr>
          </w:p>
        </w:tc>
        <w:tc>
          <w:tcPr>
            <w:tcW w:w="1373" w:type="dxa"/>
          </w:tcPr>
          <w:p w:rsidR="00320BF8" w:rsidRPr="00FE4424" w:rsidRDefault="00320BF8" w:rsidP="00320BF8">
            <w:pPr>
              <w:spacing w:after="0" w:line="240" w:lineRule="auto"/>
              <w:jc w:val="center"/>
              <w:rPr>
                <w:rFonts w:eastAsiaTheme="minorEastAsia" w:cstheme="minorHAnsi"/>
                <w:sz w:val="24"/>
                <w:szCs w:val="24"/>
              </w:rPr>
            </w:pPr>
          </w:p>
        </w:tc>
        <w:tc>
          <w:tcPr>
            <w:tcW w:w="1475" w:type="dxa"/>
            <w:shd w:val="clear" w:color="auto" w:fill="auto"/>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24 miesięcy – 0 pkt.</w:t>
            </w:r>
          </w:p>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30 miesięcy - 5 pkt.</w:t>
            </w:r>
          </w:p>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 xml:space="preserve"> 36 miesięcy -10 pkt.</w:t>
            </w:r>
          </w:p>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 xml:space="preserve"> 42 miesiące – 15pkt.</w:t>
            </w:r>
          </w:p>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 xml:space="preserve"> 48 miesięcy – 20pkt.</w:t>
            </w:r>
          </w:p>
        </w:tc>
      </w:tr>
    </w:tbl>
    <w:p w:rsidR="00320BF8" w:rsidRPr="00FE4424" w:rsidRDefault="00320BF8" w:rsidP="00320BF8">
      <w:pPr>
        <w:rPr>
          <w:rFonts w:cstheme="minorHAnsi"/>
          <w:sz w:val="24"/>
          <w:szCs w:val="24"/>
        </w:rPr>
      </w:pPr>
    </w:p>
    <w:p w:rsidR="00320BF8" w:rsidRPr="00FE4424" w:rsidRDefault="00320BF8" w:rsidP="00320BF8">
      <w:pPr>
        <w:rPr>
          <w:rFonts w:cstheme="minorHAnsi"/>
          <w:sz w:val="24"/>
          <w:szCs w:val="24"/>
        </w:rPr>
      </w:pPr>
    </w:p>
    <w:p w:rsidR="00320BF8" w:rsidRPr="00FE4424" w:rsidRDefault="00320BF8" w:rsidP="00320BF8">
      <w:pPr>
        <w:pStyle w:val="Nagwek1"/>
        <w:numPr>
          <w:ilvl w:val="0"/>
          <w:numId w:val="0"/>
        </w:numPr>
        <w:rPr>
          <w:rFonts w:asciiTheme="minorHAnsi" w:hAnsiTheme="minorHAnsi" w:cstheme="minorHAnsi"/>
          <w:sz w:val="24"/>
        </w:rPr>
      </w:pPr>
      <w:bookmarkStart w:id="7" w:name="_Toc221092104"/>
    </w:p>
    <w:p w:rsidR="00320BF8" w:rsidRPr="00FE4424" w:rsidRDefault="00320BF8" w:rsidP="00320BF8">
      <w:pPr>
        <w:pStyle w:val="Nagwek1"/>
        <w:numPr>
          <w:ilvl w:val="0"/>
          <w:numId w:val="0"/>
        </w:numPr>
        <w:rPr>
          <w:rFonts w:asciiTheme="minorHAnsi" w:hAnsiTheme="minorHAnsi" w:cstheme="minorHAnsi"/>
          <w:sz w:val="24"/>
        </w:rPr>
      </w:pPr>
      <w:bookmarkStart w:id="8" w:name="_Toc225839455"/>
      <w:r w:rsidRPr="00FE4424">
        <w:rPr>
          <w:rFonts w:asciiTheme="minorHAnsi" w:hAnsiTheme="minorHAnsi" w:cstheme="minorHAnsi"/>
          <w:noProof/>
          <w:sz w:val="24"/>
        </w:rPr>
        <w:t xml:space="preserve">Pakiet </w:t>
      </w:r>
      <w:r w:rsidR="002C5F1E" w:rsidRPr="00FE4424">
        <w:rPr>
          <w:rFonts w:asciiTheme="minorHAnsi" w:hAnsiTheme="minorHAnsi" w:cstheme="minorHAnsi"/>
          <w:noProof/>
          <w:sz w:val="24"/>
        </w:rPr>
        <w:t>4</w:t>
      </w:r>
      <w:r w:rsidRPr="00FE4424">
        <w:rPr>
          <w:rFonts w:asciiTheme="minorHAnsi" w:hAnsiTheme="minorHAnsi" w:cstheme="minorHAnsi"/>
          <w:noProof/>
          <w:sz w:val="24"/>
        </w:rPr>
        <w:t>.  System monitorowania pacjenta  -szt. 1</w:t>
      </w:r>
      <w:bookmarkEnd w:id="7"/>
      <w:bookmarkEnd w:id="8"/>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Pełna nazwa urządzenia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Producent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Kraj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Rok produkcji: 2025/2026</w:t>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p>
    <w:tbl>
      <w:tblPr>
        <w:tblW w:w="11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5" w:type="dxa"/>
        </w:tblCellMar>
        <w:tblLook w:val="0000" w:firstRow="0" w:lastRow="0" w:firstColumn="0" w:lastColumn="0" w:noHBand="0" w:noVBand="0"/>
      </w:tblPr>
      <w:tblGrid>
        <w:gridCol w:w="721"/>
        <w:gridCol w:w="4382"/>
        <w:gridCol w:w="1489"/>
        <w:gridCol w:w="1346"/>
        <w:gridCol w:w="1373"/>
        <w:gridCol w:w="1821"/>
      </w:tblGrid>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widowControl w:val="0"/>
              <w:suppressAutoHyphens/>
              <w:spacing w:after="0" w:line="240" w:lineRule="auto"/>
              <w:ind w:left="-49"/>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ind w:left="-49"/>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L.p.</w:t>
            </w:r>
          </w:p>
        </w:tc>
        <w:tc>
          <w:tcPr>
            <w:tcW w:w="4382"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Nazwa i opis parametru lub funkcji urządzenia</w:t>
            </w:r>
          </w:p>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p>
        </w:tc>
        <w:tc>
          <w:tcPr>
            <w:tcW w:w="1489"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wymagany</w:t>
            </w:r>
          </w:p>
        </w:tc>
        <w:tc>
          <w:tcPr>
            <w:tcW w:w="1346"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oferowany</w:t>
            </w:r>
          </w:p>
        </w:tc>
        <w:tc>
          <w:tcPr>
            <w:tcW w:w="1373" w:type="dxa"/>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 xml:space="preserve">Nr strony w mat. </w:t>
            </w:r>
            <w:proofErr w:type="spellStart"/>
            <w:r w:rsidRPr="00FE4424">
              <w:rPr>
                <w:rFonts w:eastAsia="Lucida Sans Unicode" w:cstheme="minorHAnsi"/>
                <w:b/>
                <w:sz w:val="24"/>
                <w:szCs w:val="24"/>
                <w:lang w:eastAsia="zh-CN" w:bidi="hi-IN"/>
              </w:rPr>
              <w:t>infor</w:t>
            </w:r>
            <w:proofErr w:type="spellEnd"/>
            <w:r w:rsidRPr="00FE4424">
              <w:rPr>
                <w:rFonts w:eastAsia="Lucida Sans Unicode" w:cstheme="minorHAnsi"/>
                <w:b/>
                <w:sz w:val="24"/>
                <w:szCs w:val="24"/>
                <w:lang w:eastAsia="zh-CN" w:bidi="hi-IN"/>
              </w:rPr>
              <w:t>. z potwierdzeniem parametru</w:t>
            </w:r>
          </w:p>
        </w:tc>
        <w:tc>
          <w:tcPr>
            <w:tcW w:w="1821"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Ocena</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 xml:space="preserve">Urządzenie fabrycznie nowe, </w:t>
            </w:r>
            <w:proofErr w:type="spellStart"/>
            <w:r w:rsidRPr="00FE4424">
              <w:rPr>
                <w:rFonts w:eastAsiaTheme="minorEastAsia" w:cstheme="minorHAnsi"/>
                <w:sz w:val="24"/>
                <w:szCs w:val="24"/>
              </w:rPr>
              <w:t>nierekondycjonowane</w:t>
            </w:r>
            <w:proofErr w:type="spellEnd"/>
          </w:p>
        </w:tc>
        <w:tc>
          <w:tcPr>
            <w:tcW w:w="1489" w:type="dxa"/>
            <w:shd w:val="clear" w:color="auto" w:fill="auto"/>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spacing w:line="240" w:lineRule="auto"/>
              <w:rPr>
                <w:rFonts w:cstheme="minorHAnsi"/>
                <w:sz w:val="24"/>
                <w:szCs w:val="24"/>
              </w:rPr>
            </w:pPr>
            <w:r w:rsidRPr="00FE4424">
              <w:rPr>
                <w:rFonts w:cstheme="minorHAnsi"/>
                <w:spacing w:val="-5"/>
                <w:sz w:val="24"/>
                <w:szCs w:val="24"/>
              </w:rPr>
              <w:t>Model / typ</w:t>
            </w:r>
          </w:p>
        </w:tc>
        <w:tc>
          <w:tcPr>
            <w:tcW w:w="1489"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TAK</w:t>
            </w:r>
          </w:p>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(podać)</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 xml:space="preserve">Konieczność połączenia zaoferowanego systemu z serwerem PIC </w:t>
            </w:r>
            <w:proofErr w:type="spellStart"/>
            <w:r w:rsidRPr="00FE4424">
              <w:rPr>
                <w:rFonts w:cstheme="minorHAnsi"/>
                <w:color w:val="000000"/>
                <w:sz w:val="24"/>
                <w:szCs w:val="24"/>
              </w:rPr>
              <w:t>iX</w:t>
            </w:r>
            <w:proofErr w:type="spellEnd"/>
            <w:r w:rsidRPr="00FE4424">
              <w:rPr>
                <w:rFonts w:cstheme="minorHAnsi"/>
                <w:color w:val="000000"/>
                <w:sz w:val="24"/>
                <w:szCs w:val="24"/>
              </w:rPr>
              <w:t xml:space="preserve"> </w:t>
            </w:r>
            <w:proofErr w:type="spellStart"/>
            <w:r w:rsidRPr="00FE4424">
              <w:rPr>
                <w:rFonts w:cstheme="minorHAnsi"/>
                <w:color w:val="000000"/>
                <w:sz w:val="24"/>
                <w:szCs w:val="24"/>
              </w:rPr>
              <w:t>prod</w:t>
            </w:r>
            <w:proofErr w:type="spellEnd"/>
            <w:r w:rsidRPr="00FE4424">
              <w:rPr>
                <w:rFonts w:cstheme="minorHAnsi"/>
                <w:color w:val="000000"/>
                <w:sz w:val="24"/>
                <w:szCs w:val="24"/>
              </w:rPr>
              <w:t xml:space="preserve"> Philips umożliwiającym gromadzenie i przesyłanie danych pomiędzy Kliniką Kardiologii – Pododdział Ostrych Zespołów Wieńcowych oraz Komórkami wpiętymi w system. W przypadku konieczności </w:t>
            </w:r>
            <w:proofErr w:type="spellStart"/>
            <w:r w:rsidRPr="00FE4424">
              <w:rPr>
                <w:rFonts w:cstheme="minorHAnsi"/>
                <w:color w:val="000000"/>
                <w:sz w:val="24"/>
                <w:szCs w:val="24"/>
              </w:rPr>
              <w:t>upgradu</w:t>
            </w:r>
            <w:proofErr w:type="spellEnd"/>
            <w:r w:rsidRPr="00FE4424">
              <w:rPr>
                <w:rFonts w:cstheme="minorHAnsi"/>
                <w:color w:val="000000"/>
                <w:sz w:val="24"/>
                <w:szCs w:val="24"/>
              </w:rPr>
              <w:t xml:space="preserve"> sytemu Wykonawca wykona to w ramach umowy.</w:t>
            </w:r>
          </w:p>
        </w:tc>
        <w:tc>
          <w:tcPr>
            <w:tcW w:w="1489" w:type="dxa"/>
            <w:tcMar>
              <w:left w:w="60" w:type="dxa"/>
            </w:tcMar>
          </w:tcPr>
          <w:p w:rsidR="00320BF8" w:rsidRPr="00FE4424" w:rsidRDefault="00320BF8" w:rsidP="00320BF8">
            <w:pPr>
              <w:widowControl w:val="0"/>
              <w:snapToGrid w:val="0"/>
              <w:spacing w:after="0" w:line="240" w:lineRule="auto"/>
              <w:jc w:val="center"/>
              <w:rPr>
                <w:rFonts w:cstheme="minorHAnsi"/>
                <w:kern w:val="2"/>
                <w:sz w:val="24"/>
                <w:szCs w:val="24"/>
                <w14:ligatures w14:val="standardContextual"/>
              </w:rPr>
            </w:pPr>
            <w:r w:rsidRPr="00FE4424">
              <w:rPr>
                <w:rFonts w:cstheme="minorHAnsi"/>
                <w:kern w:val="2"/>
                <w:sz w:val="24"/>
                <w:szCs w:val="24"/>
                <w14:ligatures w14:val="standardContextual"/>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D9D9D9" w:themeFill="background1" w:themeFillShade="D9"/>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eastAsiaTheme="minorEastAsia" w:cstheme="minorHAnsi"/>
                <w:sz w:val="24"/>
                <w:szCs w:val="24"/>
              </w:rPr>
              <w:t>Kardiomonitor modułowy – 10 szt.</w:t>
            </w:r>
          </w:p>
        </w:tc>
        <w:tc>
          <w:tcPr>
            <w:tcW w:w="1489" w:type="dxa"/>
            <w:shd w:val="clear" w:color="auto" w:fill="D9D9D9" w:themeFill="background1" w:themeFillShade="D9"/>
            <w:tcMar>
              <w:left w:w="60" w:type="dxa"/>
            </w:tcMar>
          </w:tcPr>
          <w:p w:rsidR="00320BF8" w:rsidRPr="00FE4424" w:rsidRDefault="00320BF8" w:rsidP="00320BF8">
            <w:pPr>
              <w:widowControl w:val="0"/>
              <w:snapToGrid w:val="0"/>
              <w:spacing w:after="0" w:line="240" w:lineRule="auto"/>
              <w:jc w:val="center"/>
              <w:rPr>
                <w:rFonts w:cstheme="minorHAnsi"/>
                <w:kern w:val="2"/>
                <w:sz w:val="24"/>
                <w:szCs w:val="24"/>
                <w14:ligatures w14:val="standardContextual"/>
              </w:rPr>
            </w:pPr>
            <w:r w:rsidRPr="00FE4424">
              <w:rPr>
                <w:rFonts w:cstheme="minorHAnsi"/>
                <w:kern w:val="2"/>
                <w:sz w:val="24"/>
                <w:szCs w:val="24"/>
                <w14:ligatures w14:val="standardContextual"/>
              </w:rPr>
              <w:t>TAK</w:t>
            </w:r>
          </w:p>
        </w:tc>
        <w:tc>
          <w:tcPr>
            <w:tcW w:w="1346" w:type="dxa"/>
            <w:shd w:val="clear" w:color="auto" w:fill="D9D9D9" w:themeFill="background1" w:themeFillShade="D9"/>
            <w:tcMar>
              <w:left w:w="60" w:type="dxa"/>
            </w:tcMar>
          </w:tcPr>
          <w:p w:rsidR="00320BF8" w:rsidRPr="00FE4424" w:rsidRDefault="00320BF8" w:rsidP="00320BF8">
            <w:pPr>
              <w:spacing w:after="0" w:line="240" w:lineRule="auto"/>
              <w:rPr>
                <w:rFonts w:eastAsia="Calibri" w:cstheme="minorHAnsi"/>
                <w:sz w:val="24"/>
                <w:szCs w:val="24"/>
              </w:rPr>
            </w:pPr>
          </w:p>
        </w:tc>
        <w:tc>
          <w:tcPr>
            <w:tcW w:w="1373" w:type="dxa"/>
            <w:shd w:val="clear" w:color="auto" w:fill="D9D9D9" w:themeFill="background1" w:themeFillShade="D9"/>
          </w:tcPr>
          <w:p w:rsidR="00320BF8" w:rsidRPr="00FE4424" w:rsidRDefault="00320BF8" w:rsidP="00320BF8">
            <w:pPr>
              <w:spacing w:after="0" w:line="240" w:lineRule="auto"/>
              <w:rPr>
                <w:rFonts w:eastAsia="Calibri" w:cstheme="minorHAnsi"/>
                <w:sz w:val="24"/>
                <w:szCs w:val="24"/>
              </w:rPr>
            </w:pPr>
          </w:p>
        </w:tc>
        <w:tc>
          <w:tcPr>
            <w:tcW w:w="1821" w:type="dxa"/>
            <w:shd w:val="clear" w:color="auto" w:fill="D9D9D9" w:themeFill="background1" w:themeFillShade="D9"/>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Stanowisko monitorowania zainstalowane składające się z:</w:t>
            </w:r>
            <w:r w:rsidRPr="00FE4424">
              <w:rPr>
                <w:rFonts w:cstheme="minorHAnsi"/>
                <w:sz w:val="24"/>
                <w:szCs w:val="24"/>
              </w:rPr>
              <w:br/>
            </w:r>
            <w:r w:rsidRPr="00FE4424">
              <w:rPr>
                <w:rFonts w:cstheme="minorHAnsi"/>
                <w:b/>
                <w:bCs/>
                <w:sz w:val="24"/>
                <w:szCs w:val="24"/>
              </w:rPr>
              <w:t xml:space="preserve">- jednostki głównej kardiomonitora </w:t>
            </w:r>
            <w:r w:rsidRPr="00FE4424">
              <w:rPr>
                <w:rFonts w:cstheme="minorHAnsi"/>
                <w:b/>
                <w:bCs/>
                <w:sz w:val="24"/>
                <w:szCs w:val="24"/>
              </w:rPr>
              <w:br/>
              <w:t xml:space="preserve">- odłączanego modułu transportowego </w:t>
            </w:r>
            <w:r w:rsidRPr="00FE4424">
              <w:rPr>
                <w:rFonts w:cstheme="minorHAnsi"/>
                <w:sz w:val="24"/>
                <w:szCs w:val="24"/>
              </w:rPr>
              <w:t xml:space="preserve"> </w:t>
            </w:r>
            <w:r w:rsidRPr="00FE4424">
              <w:rPr>
                <w:rFonts w:cstheme="minorHAnsi"/>
                <w:sz w:val="24"/>
                <w:szCs w:val="24"/>
              </w:rPr>
              <w:br/>
              <w:t>Moduły pomiarowe jedno lub wieloparametrowe z możliwością zamiennego wykorzystania we wszystkich opisywanych kardiomonitorach.</w:t>
            </w:r>
            <w:r w:rsidRPr="00FE4424">
              <w:rPr>
                <w:rFonts w:cstheme="minorHAnsi"/>
                <w:sz w:val="24"/>
                <w:szCs w:val="24"/>
              </w:rPr>
              <w:br/>
              <w:t xml:space="preserve">Zasilanie, komunikacja oraz przesyłanie danych pomiarowych z modułów pomiarowych do monitora realizowane wyłącznie poprzez styki elektryczne. Zewnętrzna kieszeń lub kieszenie umożliwiające podłączenie min. do 4 modułów pomiarowych. </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Konstrukcja zapobiegająca wchłanianiu kurzu i rozprzestrzenianiu się infekcji, bez wbudowanych wiatraków/wentylatorów. Chłodzenie kardiomonitora konwekcyjne.</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Obudowa kardiomonitora łatwa do czyszczenia, kroploszczelna (min. IP21), odporna na środki dezynfekcyjne.</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wykorzystania odłączanego elementu kardiomonitora jako monitora transportowego z funkcjami pomiaru i alarmów co najmniej EKG, oddechu, tętna, saturacji i ciśnienia krwi nieinwazyjnego oraz inwazyjnego.</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Element/moduł transportowy wyposażony w zasilanie akumulatorowe na min. 5 godzin ciągłej pracy.</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Element/moduł transportowy wyposażony w ekran dotykowy o przekątnej min. 6’’ z obsługą gestów oraz automatyczną rotacją ekranu 90/180 stopni.</w:t>
            </w:r>
          </w:p>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Do całej dostawy dodatkowy moduł transportowy – łącznie 11 szt. </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Element/moduł transportowy wyposażony w system alarmów, pamięć pomiarów i danych demograficznych pacjenta oraz trendów z min. 48 godz.</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Wysoka odporność modułu transportowego na zabrudzenia, zalanie (min. IP32), wstrząsy, uderzenia, upadki (min. 1 m). Automatyczne ładowanie akumulatora modułu po zadokowaniu w kardiomonitorze. Pełny dostęp do elementów sterujących i ekranu modułu również po zadokowaniu w kardiomonitorze.</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Masa modułu transportowego nie większa niż 1,5 kg.</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Ekran kolorowy kardiomonitora TFT o wysokiej rozdzielczości min. 1900 x 1000 pikseli. Ekran dotykowy pojemnościowy z obsługą gestów.</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Przekątna ekranu min. 19 cali.</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Duże, czytelne odczyty numeryczne oraz krzywe dynamiczne (min. 8 krzywych).</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dopasowania zawartości ekranu do aktualnych potrzeb użytkownika bez udziału serwisu. Możliwość zapisania w pamięci własnych układów ekranu utworzonych przez użytkownika, min. 20 konfiguracji bez udziału serwisu.</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Regulacja jasności ekranu, min. 10 poziomów; wbudowany czujnik oświetlenia automatycznie dopasowujący poziom jasności względem warunków otoczenia.</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Dostęp do wszystkich funkcji monitora za pomocą ekranu dotykowego i menu w języku polskim.</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Pamięć różnych ustawień parametrów kardiomonitora z możliwością dowolnego przywoływania bez przerywania pracy – min. 20 różnych profili.</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Wydruk funkcji życiowych i raportów z poziomu kardiomonitora do plików w formacie PDF. Szyfrowane połączenie sieciowe uniemożliwiające przechwycenie danych.</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podglądu na ekranie zapisów z innego kardiomonitora tej samej marki.</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Wbudowany klient systemu </w:t>
            </w:r>
            <w:proofErr w:type="spellStart"/>
            <w:r w:rsidRPr="00FE4424">
              <w:rPr>
                <w:rFonts w:cstheme="minorHAnsi"/>
                <w:sz w:val="24"/>
                <w:szCs w:val="24"/>
              </w:rPr>
              <w:t>Citrix</w:t>
            </w:r>
            <w:proofErr w:type="spellEnd"/>
            <w:r w:rsidRPr="00FE4424">
              <w:rPr>
                <w:rFonts w:cstheme="minorHAnsi"/>
                <w:sz w:val="24"/>
                <w:szCs w:val="24"/>
              </w:rPr>
              <w:t xml:space="preserve"> </w:t>
            </w:r>
            <w:proofErr w:type="spellStart"/>
            <w:r w:rsidRPr="00FE4424">
              <w:rPr>
                <w:rFonts w:cstheme="minorHAnsi"/>
                <w:sz w:val="24"/>
                <w:szCs w:val="24"/>
              </w:rPr>
              <w:t>Xen</w:t>
            </w:r>
            <w:proofErr w:type="spellEnd"/>
            <w:r w:rsidRPr="00FE4424">
              <w:rPr>
                <w:rFonts w:cstheme="minorHAnsi"/>
                <w:sz w:val="24"/>
                <w:szCs w:val="24"/>
              </w:rPr>
              <w:t>.</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TAK/NIE</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 – 3 pkt</w:t>
            </w:r>
          </w:p>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Nie – 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uruchamiania aplikacji webowych www bez konieczności instalowania dodatkowego oprogramowania (wbudowany silnik renderujący HTML5).</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Wbudowane min. 4 porty USB, wyjście sygnału na zewnętrzny monitor złączem z szyfrowanym sygnałem, złącze Ethernet, port RS232 oraz gniazdo synchronizacji sygnału EKG.</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Gniazdo cyfrowe umożliwiające podłączenie ekranu kopiującego np. HDMI lub DVI (możliwość rozbudowy). </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Szyfrowanie zgromadzonych danych pacjenta w wewnętrznym systemie plików kardiomonitora.</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Wbudowana komunikacja NFC oraz </w:t>
            </w:r>
            <w:proofErr w:type="spellStart"/>
            <w:r w:rsidRPr="00FE4424">
              <w:rPr>
                <w:rFonts w:cstheme="minorHAnsi"/>
                <w:sz w:val="24"/>
                <w:szCs w:val="24"/>
              </w:rPr>
              <w:t>RFiD</w:t>
            </w:r>
            <w:proofErr w:type="spellEnd"/>
            <w:r w:rsidRPr="00FE4424">
              <w:rPr>
                <w:rFonts w:cstheme="minorHAnsi"/>
                <w:sz w:val="24"/>
                <w:szCs w:val="24"/>
              </w:rPr>
              <w:t>.</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TAK/NIE</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 – 3 pkt</w:t>
            </w:r>
          </w:p>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Nie – 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Alarmy dźwiękowe i wizualne wszystkich monitorowanych parametrów oraz zaburzeń rytmu serca.</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zawieszania alarmów dźwiękowych na wybrany okres, min. od 1 do 10 minut oraz na stałe.</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Alarmy ustawiane ręcznie oraz automatycznie (na podstawie aktualnego stanu pacjenta) z możliwością regulacji progów w jednym wspólnym menu.</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Regulacja głośności alarmów dźwiękowych z zabezpieczeniem przed całkowitym wyciszeniem, min. 10 progów głośności.</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b/>
                <w:bCs/>
                <w:sz w:val="24"/>
                <w:szCs w:val="24"/>
              </w:rPr>
            </w:pPr>
            <w:r w:rsidRPr="00FE4424">
              <w:rPr>
                <w:rFonts w:cstheme="minorHAnsi"/>
                <w:b/>
                <w:bCs/>
                <w:sz w:val="24"/>
                <w:szCs w:val="24"/>
              </w:rPr>
              <w:t>Moduły pomiarowe:</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b/>
                <w:sz w:val="24"/>
                <w:szCs w:val="24"/>
              </w:rPr>
              <w:t>Pomiar EKG</w:t>
            </w:r>
            <w:r w:rsidRPr="00FE4424">
              <w:rPr>
                <w:rFonts w:cstheme="minorHAnsi"/>
                <w:sz w:val="24"/>
                <w:szCs w:val="24"/>
              </w:rPr>
              <w:br/>
              <w:t xml:space="preserve">Monitorowanie i jednoczesne wyświetlanie od 1 do 12 </w:t>
            </w:r>
            <w:proofErr w:type="spellStart"/>
            <w:r w:rsidRPr="00FE4424">
              <w:rPr>
                <w:rFonts w:cstheme="minorHAnsi"/>
                <w:sz w:val="24"/>
                <w:szCs w:val="24"/>
              </w:rPr>
              <w:t>odprowadzeń</w:t>
            </w:r>
            <w:proofErr w:type="spellEnd"/>
            <w:r w:rsidRPr="00FE4424">
              <w:rPr>
                <w:rFonts w:cstheme="minorHAnsi"/>
                <w:sz w:val="24"/>
                <w:szCs w:val="24"/>
              </w:rPr>
              <w:t xml:space="preserve"> EKG; monitor wyposażony w funkcję rekonstrukcji 12 </w:t>
            </w:r>
            <w:proofErr w:type="spellStart"/>
            <w:r w:rsidRPr="00FE4424">
              <w:rPr>
                <w:rFonts w:cstheme="minorHAnsi"/>
                <w:sz w:val="24"/>
                <w:szCs w:val="24"/>
              </w:rPr>
              <w:t>odprowadzeń</w:t>
            </w:r>
            <w:proofErr w:type="spellEnd"/>
            <w:r w:rsidRPr="00FE4424">
              <w:rPr>
                <w:rFonts w:cstheme="minorHAnsi"/>
                <w:sz w:val="24"/>
                <w:szCs w:val="24"/>
              </w:rPr>
              <w:t xml:space="preserve"> EKG z 5 i 6 elektrod EKG; pomiar HR w zakresie min. 15-350 /min. z dokładnością +/-1%. Alarm niskiej i wysokiej wartości HR.</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Analiza odcinka ST z prezentacją graficzną zmian ST na wykresach kołowych. Funkcja gromadzi pomiary odcinka ST oraz trendy uzyskane z pomiarów w płaszczyźnie pionowej (odprowadzenia kończynowe) i poziomej (odprowadzenia przedsercowe). Możliwość wyboru referencyjnego poziomu wyjściowego.</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TAK/NIE</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Tak – 3 pkt</w:t>
            </w:r>
          </w:p>
          <w:p w:rsidR="00320BF8" w:rsidRPr="00FE4424" w:rsidRDefault="00320BF8" w:rsidP="00320BF8">
            <w:pPr>
              <w:widowControl w:val="0"/>
              <w:spacing w:after="0" w:line="240" w:lineRule="auto"/>
              <w:rPr>
                <w:rFonts w:eastAsia="Lucida Sans Unicode" w:cstheme="minorHAnsi"/>
                <w:sz w:val="24"/>
                <w:szCs w:val="24"/>
                <w:lang w:eastAsia="zh-CN" w:bidi="hi-IN"/>
              </w:rPr>
            </w:pPr>
            <w:r w:rsidRPr="00FE4424">
              <w:rPr>
                <w:rFonts w:cstheme="minorHAnsi"/>
                <w:sz w:val="24"/>
                <w:szCs w:val="24"/>
              </w:rPr>
              <w:t>Nie – 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Pomiar, prezentacja i alarmy wartości QT i </w:t>
            </w:r>
            <w:proofErr w:type="spellStart"/>
            <w:r w:rsidRPr="00FE4424">
              <w:rPr>
                <w:rFonts w:cstheme="minorHAnsi"/>
                <w:sz w:val="24"/>
                <w:szCs w:val="24"/>
              </w:rPr>
              <w:t>QTc</w:t>
            </w:r>
            <w:proofErr w:type="spellEnd"/>
            <w:r w:rsidRPr="00FE4424">
              <w:rPr>
                <w:rFonts w:cstheme="minorHAnsi"/>
                <w:sz w:val="24"/>
                <w:szCs w:val="24"/>
              </w:rPr>
              <w:t xml:space="preserve"> we wszystkich </w:t>
            </w:r>
            <w:proofErr w:type="spellStart"/>
            <w:r w:rsidRPr="00FE4424">
              <w:rPr>
                <w:rFonts w:cstheme="minorHAnsi"/>
                <w:sz w:val="24"/>
                <w:szCs w:val="24"/>
              </w:rPr>
              <w:t>odprowadzeniach</w:t>
            </w:r>
            <w:proofErr w:type="spellEnd"/>
            <w:r w:rsidRPr="00FE4424">
              <w:rPr>
                <w:rFonts w:cstheme="minorHAnsi"/>
                <w:sz w:val="24"/>
                <w:szCs w:val="24"/>
              </w:rPr>
              <w:t>.</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Analiza i alarmy zaburzeń rytmu; co najmniej 25 rodzajów, w tym: </w:t>
            </w:r>
            <w:proofErr w:type="spellStart"/>
            <w:r w:rsidRPr="00FE4424">
              <w:rPr>
                <w:rFonts w:cstheme="minorHAnsi"/>
                <w:sz w:val="24"/>
                <w:szCs w:val="24"/>
              </w:rPr>
              <w:t>asystolii</w:t>
            </w:r>
            <w:proofErr w:type="spellEnd"/>
            <w:r w:rsidRPr="00FE4424">
              <w:rPr>
                <w:rFonts w:cstheme="minorHAnsi"/>
                <w:sz w:val="24"/>
                <w:szCs w:val="24"/>
              </w:rPr>
              <w:t>, bradykardii, tachykardii, R/T, SV, migotania przedsionków i komór.</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b/>
                <w:sz w:val="24"/>
                <w:szCs w:val="24"/>
              </w:rPr>
              <w:t>Pomiar oddechów (RESP)</w:t>
            </w:r>
            <w:r w:rsidRPr="00FE4424">
              <w:rPr>
                <w:rFonts w:cstheme="minorHAnsi"/>
                <w:sz w:val="24"/>
                <w:szCs w:val="24"/>
              </w:rPr>
              <w:br/>
              <w:t xml:space="preserve">Pomiar impedancyjny liczby oddechów w zakresie min. 0-170 </w:t>
            </w:r>
            <w:proofErr w:type="spellStart"/>
            <w:r w:rsidRPr="00FE4424">
              <w:rPr>
                <w:rFonts w:cstheme="minorHAnsi"/>
                <w:sz w:val="24"/>
                <w:szCs w:val="24"/>
              </w:rPr>
              <w:t>odd</w:t>
            </w:r>
            <w:proofErr w:type="spellEnd"/>
            <w:r w:rsidRPr="00FE4424">
              <w:rPr>
                <w:rFonts w:cstheme="minorHAnsi"/>
                <w:sz w:val="24"/>
                <w:szCs w:val="24"/>
              </w:rPr>
              <w:t xml:space="preserve">./min. z dokładnością nie gorszą niż +/- 1 </w:t>
            </w:r>
            <w:proofErr w:type="spellStart"/>
            <w:r w:rsidRPr="00FE4424">
              <w:rPr>
                <w:rFonts w:cstheme="minorHAnsi"/>
                <w:sz w:val="24"/>
                <w:szCs w:val="24"/>
              </w:rPr>
              <w:t>odd</w:t>
            </w:r>
            <w:proofErr w:type="spellEnd"/>
            <w:r w:rsidRPr="00FE4424">
              <w:rPr>
                <w:rFonts w:cstheme="minorHAnsi"/>
                <w:sz w:val="24"/>
                <w:szCs w:val="24"/>
              </w:rPr>
              <w:t xml:space="preserve">./min (dla przedziału 0-120 </w:t>
            </w:r>
            <w:proofErr w:type="spellStart"/>
            <w:r w:rsidRPr="00FE4424">
              <w:rPr>
                <w:rFonts w:cstheme="minorHAnsi"/>
                <w:sz w:val="24"/>
                <w:szCs w:val="24"/>
              </w:rPr>
              <w:t>odd</w:t>
            </w:r>
            <w:proofErr w:type="spellEnd"/>
            <w:r w:rsidRPr="00FE4424">
              <w:rPr>
                <w:rFonts w:cstheme="minorHAnsi"/>
                <w:sz w:val="24"/>
                <w:szCs w:val="24"/>
              </w:rPr>
              <w:t>./min). Regulowane opóźnienie alarmu bezdechu.</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080B7F">
            <w:pPr>
              <w:spacing w:after="0" w:line="240" w:lineRule="auto"/>
              <w:rPr>
                <w:rFonts w:cstheme="minorHAnsi"/>
                <w:sz w:val="24"/>
                <w:szCs w:val="24"/>
              </w:rPr>
            </w:pPr>
            <w:r w:rsidRPr="00FE4424">
              <w:rPr>
                <w:rFonts w:cstheme="minorHAnsi"/>
                <w:b/>
                <w:sz w:val="24"/>
                <w:szCs w:val="24"/>
              </w:rPr>
              <w:t>Pomiar saturacji (SPO2)</w:t>
            </w:r>
            <w:r w:rsidRPr="00FE4424">
              <w:rPr>
                <w:rFonts w:cstheme="minorHAnsi"/>
                <w:sz w:val="24"/>
                <w:szCs w:val="24"/>
              </w:rPr>
              <w:br/>
              <w:t xml:space="preserve">Pomiar w technologii </w:t>
            </w:r>
            <w:proofErr w:type="spellStart"/>
            <w:r w:rsidR="00080B7F" w:rsidRPr="00FE4424">
              <w:rPr>
                <w:rFonts w:cstheme="minorHAnsi"/>
                <w:sz w:val="24"/>
                <w:szCs w:val="24"/>
              </w:rPr>
              <w:t>Nellcor</w:t>
            </w:r>
            <w:proofErr w:type="spellEnd"/>
            <w:r w:rsidR="00080B7F" w:rsidRPr="00FE4424">
              <w:rPr>
                <w:rFonts w:cstheme="minorHAnsi"/>
                <w:sz w:val="24"/>
                <w:szCs w:val="24"/>
              </w:rPr>
              <w:t xml:space="preserve"> </w:t>
            </w:r>
            <w:proofErr w:type="spellStart"/>
            <w:r w:rsidR="00080B7F" w:rsidRPr="00FE4424">
              <w:rPr>
                <w:rFonts w:cstheme="minorHAnsi"/>
                <w:sz w:val="24"/>
                <w:szCs w:val="24"/>
              </w:rPr>
              <w:t>OxiMax</w:t>
            </w:r>
            <w:proofErr w:type="spellEnd"/>
            <w:r w:rsidR="00080B7F" w:rsidRPr="00FE4424">
              <w:rPr>
                <w:rFonts w:cstheme="minorHAnsi"/>
                <w:sz w:val="24"/>
                <w:szCs w:val="24"/>
              </w:rPr>
              <w:t xml:space="preserve"> lub FAST Philips</w:t>
            </w:r>
            <w:r w:rsidRPr="00FE4424">
              <w:rPr>
                <w:rFonts w:cstheme="minorHAnsi"/>
                <w:sz w:val="24"/>
                <w:szCs w:val="24"/>
              </w:rPr>
              <w:t>; pomiar SpO2 w zakresie min. 70-100% z dokładnością nie gorszą niż +/-2%.</w:t>
            </w:r>
            <w:r w:rsidRPr="00FE4424">
              <w:rPr>
                <w:rFonts w:cstheme="minorHAnsi"/>
                <w:sz w:val="24"/>
                <w:szCs w:val="24"/>
              </w:rPr>
              <w:br/>
              <w:t>Pomi</w:t>
            </w:r>
            <w:r w:rsidR="00080B7F" w:rsidRPr="00FE4424">
              <w:rPr>
                <w:rFonts w:cstheme="minorHAnsi"/>
                <w:sz w:val="24"/>
                <w:szCs w:val="24"/>
              </w:rPr>
              <w:t>ar tętna (PR) w zakresie min. 30-25</w:t>
            </w:r>
            <w:r w:rsidRPr="00FE4424">
              <w:rPr>
                <w:rFonts w:cstheme="minorHAnsi"/>
                <w:sz w:val="24"/>
                <w:szCs w:val="24"/>
              </w:rPr>
              <w:t>0 /min. z dokładnością nie gorszą niż +/-2%.</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bCs/>
                <w:sz w:val="24"/>
                <w:szCs w:val="24"/>
              </w:rPr>
            </w:pPr>
            <w:r w:rsidRPr="00FE4424">
              <w:rPr>
                <w:rFonts w:cstheme="minorHAnsi"/>
                <w:bCs/>
                <w:sz w:val="24"/>
                <w:szCs w:val="24"/>
              </w:rPr>
              <w:t xml:space="preserve">Możliwość rozbudowy o dodatkowe pomiary nieinwazyjnej hemoglobiny (min. </w:t>
            </w:r>
            <w:proofErr w:type="spellStart"/>
            <w:r w:rsidRPr="00FE4424">
              <w:rPr>
                <w:rFonts w:cstheme="minorHAnsi"/>
                <w:bCs/>
                <w:sz w:val="24"/>
                <w:szCs w:val="24"/>
              </w:rPr>
              <w:t>SpHb</w:t>
            </w:r>
            <w:proofErr w:type="spellEnd"/>
            <w:r w:rsidRPr="00FE4424">
              <w:rPr>
                <w:rFonts w:cstheme="minorHAnsi"/>
                <w:bCs/>
                <w:sz w:val="24"/>
                <w:szCs w:val="24"/>
              </w:rPr>
              <w:t xml:space="preserve">, </w:t>
            </w:r>
            <w:proofErr w:type="spellStart"/>
            <w:r w:rsidRPr="00FE4424">
              <w:rPr>
                <w:rFonts w:cstheme="minorHAnsi"/>
                <w:bCs/>
                <w:sz w:val="24"/>
                <w:szCs w:val="24"/>
              </w:rPr>
              <w:t>SpMet</w:t>
            </w:r>
            <w:proofErr w:type="spellEnd"/>
            <w:r w:rsidRPr="00FE4424">
              <w:rPr>
                <w:rFonts w:cstheme="minorHAnsi"/>
                <w:bCs/>
                <w:sz w:val="24"/>
                <w:szCs w:val="24"/>
              </w:rPr>
              <w:t xml:space="preserve">, </w:t>
            </w:r>
            <w:proofErr w:type="spellStart"/>
            <w:r w:rsidRPr="00FE4424">
              <w:rPr>
                <w:rFonts w:cstheme="minorHAnsi"/>
                <w:bCs/>
                <w:sz w:val="24"/>
                <w:szCs w:val="24"/>
              </w:rPr>
              <w:t>SpCO</w:t>
            </w:r>
            <w:proofErr w:type="spellEnd"/>
            <w:r w:rsidRPr="00FE4424">
              <w:rPr>
                <w:rFonts w:cstheme="minorHAnsi"/>
                <w:bCs/>
                <w:sz w:val="24"/>
                <w:szCs w:val="24"/>
              </w:rPr>
              <w:t xml:space="preserve">, </w:t>
            </w:r>
            <w:proofErr w:type="spellStart"/>
            <w:r w:rsidRPr="00FE4424">
              <w:rPr>
                <w:rFonts w:cstheme="minorHAnsi"/>
                <w:bCs/>
                <w:sz w:val="24"/>
                <w:szCs w:val="24"/>
              </w:rPr>
              <w:t>SpOC</w:t>
            </w:r>
            <w:proofErr w:type="spellEnd"/>
            <w:r w:rsidRPr="00FE4424">
              <w:rPr>
                <w:rFonts w:cstheme="minorHAnsi"/>
                <w:bCs/>
                <w:sz w:val="24"/>
                <w:szCs w:val="24"/>
              </w:rPr>
              <w:t xml:space="preserve">) oraz parametry dodatkowe tj. </w:t>
            </w:r>
            <w:proofErr w:type="spellStart"/>
            <w:r w:rsidRPr="00FE4424">
              <w:rPr>
                <w:rFonts w:cstheme="minorHAnsi"/>
                <w:bCs/>
                <w:sz w:val="24"/>
                <w:szCs w:val="24"/>
              </w:rPr>
              <w:t>RRa</w:t>
            </w:r>
            <w:proofErr w:type="spellEnd"/>
            <w:r w:rsidRPr="00FE4424">
              <w:rPr>
                <w:rFonts w:cstheme="minorHAnsi"/>
                <w:bCs/>
                <w:sz w:val="24"/>
                <w:szCs w:val="24"/>
              </w:rPr>
              <w:t xml:space="preserve">, PVI (w przypadku saturacji </w:t>
            </w:r>
            <w:proofErr w:type="spellStart"/>
            <w:r w:rsidRPr="00FE4424">
              <w:rPr>
                <w:rFonts w:cstheme="minorHAnsi"/>
                <w:bCs/>
                <w:sz w:val="24"/>
                <w:szCs w:val="24"/>
              </w:rPr>
              <w:t>Masimo</w:t>
            </w:r>
            <w:proofErr w:type="spellEnd"/>
            <w:r w:rsidRPr="00FE4424">
              <w:rPr>
                <w:rFonts w:cstheme="minorHAnsi"/>
                <w:bCs/>
                <w:sz w:val="24"/>
                <w:szCs w:val="24"/>
              </w:rPr>
              <w:t xml:space="preserve"> </w:t>
            </w:r>
            <w:proofErr w:type="spellStart"/>
            <w:r w:rsidRPr="00FE4424">
              <w:rPr>
                <w:rFonts w:cstheme="minorHAnsi"/>
                <w:bCs/>
                <w:sz w:val="24"/>
                <w:szCs w:val="24"/>
              </w:rPr>
              <w:t>Rainbow</w:t>
            </w:r>
            <w:proofErr w:type="spellEnd"/>
            <w:r w:rsidRPr="00FE4424">
              <w:rPr>
                <w:rFonts w:cstheme="minorHAnsi"/>
                <w:bCs/>
                <w:sz w:val="24"/>
                <w:szCs w:val="24"/>
              </w:rPr>
              <w:t xml:space="preserve"> SET).</w:t>
            </w:r>
          </w:p>
          <w:p w:rsidR="00320BF8" w:rsidRPr="00FE4424" w:rsidRDefault="00320BF8" w:rsidP="00320BF8">
            <w:pPr>
              <w:spacing w:after="0" w:line="240" w:lineRule="auto"/>
              <w:rPr>
                <w:rFonts w:cstheme="minorHAnsi"/>
                <w:bCs/>
                <w:sz w:val="24"/>
                <w:szCs w:val="24"/>
              </w:rPr>
            </w:pPr>
            <w:r w:rsidRPr="00FE4424">
              <w:rPr>
                <w:rFonts w:cstheme="minorHAnsi"/>
                <w:bCs/>
                <w:sz w:val="24"/>
                <w:szCs w:val="24"/>
              </w:rPr>
              <w:t xml:space="preserve">Możliwość dostępna na etapie składania oferty. </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TAK/NIE</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 – 10 pkt</w:t>
            </w:r>
          </w:p>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Nie – 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b/>
                <w:sz w:val="24"/>
                <w:szCs w:val="24"/>
              </w:rPr>
              <w:t>Pomiar ciśnienia nieinwazyjnego (NIBP)</w:t>
            </w:r>
            <w:r w:rsidRPr="00FE4424">
              <w:rPr>
                <w:rFonts w:cstheme="minorHAnsi"/>
                <w:sz w:val="24"/>
                <w:szCs w:val="24"/>
              </w:rPr>
              <w:br/>
              <w:t xml:space="preserve">Pomiar ciśnienia w zakresie min. 10-270 mmHg, maksymalny błąd średni nie większy niż 5 mmHg. Typowy czas pomiaru nie dłuższy niż 30 sekund; funkcja </w:t>
            </w:r>
            <w:proofErr w:type="spellStart"/>
            <w:r w:rsidRPr="00FE4424">
              <w:rPr>
                <w:rFonts w:cstheme="minorHAnsi"/>
                <w:sz w:val="24"/>
                <w:szCs w:val="24"/>
              </w:rPr>
              <w:t>stazy</w:t>
            </w:r>
            <w:proofErr w:type="spellEnd"/>
            <w:r w:rsidRPr="00FE4424">
              <w:rPr>
                <w:rFonts w:cstheme="minorHAnsi"/>
                <w:sz w:val="24"/>
                <w:szCs w:val="24"/>
              </w:rPr>
              <w:t xml:space="preserve"> ułatwiająca nakłucie żyły. Zabezpieczenie przed zbyt wysokim ciśnieniem w mankiecie.</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Programowane odstępy między pomiarami automatycznymi w zakresie min. od 1 minuty do 24 godz. </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TAK/NIE</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 – 3 pkt</w:t>
            </w:r>
          </w:p>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Nie – 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programowania sekwencji pomiarowych (np. 3 pomiary co 15 minut, następnie 3 pomiary co 2 godziny itp.) w trybie automatycznym.</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Wyświetlanie tabeli zawierającej wyniki poprzednich pomiarów ciśnienia na ekranie głównym obok aktualnie mierzonych wartości.</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b/>
                <w:sz w:val="24"/>
                <w:szCs w:val="24"/>
              </w:rPr>
              <w:t>Pomiar temperatury (TEMP)</w:t>
            </w:r>
            <w:r w:rsidRPr="00FE4424">
              <w:rPr>
                <w:rFonts w:cstheme="minorHAnsi"/>
                <w:sz w:val="24"/>
                <w:szCs w:val="24"/>
              </w:rPr>
              <w:br/>
              <w:t xml:space="preserve">Pomiar </w:t>
            </w:r>
            <w:r w:rsidR="00080B7F" w:rsidRPr="00FE4424">
              <w:rPr>
                <w:rFonts w:cstheme="minorHAnsi"/>
                <w:sz w:val="24"/>
                <w:szCs w:val="24"/>
              </w:rPr>
              <w:t>temperatury</w:t>
            </w:r>
            <w:r w:rsidRPr="00FE4424">
              <w:rPr>
                <w:rFonts w:cstheme="minorHAnsi"/>
                <w:sz w:val="24"/>
                <w:szCs w:val="24"/>
              </w:rPr>
              <w:t xml:space="preserve"> w zakresie min. 0-45°C, dokładność nie gorsza niż 0,1°C. Możliwość wyboru etykiet temperatury (min. 15 etykiet).</w:t>
            </w:r>
          </w:p>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Możliwość podłączenia do 4 pomiarów temperatury równocześnie. </w:t>
            </w:r>
          </w:p>
          <w:p w:rsidR="00080B7F" w:rsidRPr="00FE4424" w:rsidRDefault="00080B7F" w:rsidP="00080B7F">
            <w:pPr>
              <w:spacing w:after="0" w:line="240" w:lineRule="auto"/>
              <w:rPr>
                <w:rFonts w:cstheme="minorHAnsi"/>
                <w:sz w:val="24"/>
                <w:szCs w:val="24"/>
              </w:rPr>
            </w:pPr>
            <w:r w:rsidRPr="00FE4424">
              <w:rPr>
                <w:rFonts w:cstheme="minorHAnsi"/>
                <w:sz w:val="24"/>
                <w:szCs w:val="24"/>
              </w:rPr>
              <w:t>Dwa kardiomonitory wyposażone w dodatkowe kanały pomiary TEMP</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b/>
                <w:bCs/>
                <w:sz w:val="24"/>
                <w:szCs w:val="24"/>
              </w:rPr>
              <w:t>Pomiar ciśnienia inwazyjnego (IBP)</w:t>
            </w:r>
            <w:r w:rsidRPr="00FE4424">
              <w:rPr>
                <w:rFonts w:cstheme="minorHAnsi"/>
                <w:sz w:val="24"/>
                <w:szCs w:val="24"/>
              </w:rPr>
              <w:br/>
              <w:t xml:space="preserve">Pomiar w min.2  kanałach z możliwością rozszerzenia do 8 kanałów poprzez kable rozdzielające oraz moduły dodatkowe. Pomiar w zakresie min. od -40 do +360 mmHg, dokładność całkowita (z przetwornikiem) nie gorsza niż +/-4% lub +/-4mmHg. Obliczanie CPP i PPV. Obliczanie ciśnienia zaklinowania tętnicy płucnej. Możliwość ustawienia do min. 30 różnych etykiet dla ciśnień inwazyjnych. </w:t>
            </w:r>
          </w:p>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Do każdego kardiomonitora po dwa kable połączeniowe w technologii Edwards </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b/>
                <w:bCs/>
                <w:sz w:val="24"/>
                <w:szCs w:val="24"/>
              </w:rPr>
            </w:pPr>
            <w:r w:rsidRPr="00FE4424">
              <w:rPr>
                <w:rFonts w:cstheme="minorHAnsi"/>
                <w:b/>
                <w:bCs/>
                <w:sz w:val="24"/>
                <w:szCs w:val="24"/>
              </w:rPr>
              <w:t>Pomiar rzutu serca C.O.</w:t>
            </w:r>
          </w:p>
          <w:p w:rsidR="00320BF8" w:rsidRPr="00FE4424" w:rsidRDefault="00320BF8" w:rsidP="00320BF8">
            <w:pPr>
              <w:spacing w:after="0" w:line="240" w:lineRule="auto"/>
              <w:rPr>
                <w:rFonts w:cstheme="minorHAnsi"/>
                <w:bCs/>
                <w:sz w:val="24"/>
                <w:szCs w:val="24"/>
              </w:rPr>
            </w:pPr>
            <w:r w:rsidRPr="00FE4424">
              <w:rPr>
                <w:rFonts w:cstheme="minorHAnsi"/>
                <w:sz w:val="24"/>
                <w:szCs w:val="24"/>
              </w:rPr>
              <w:t>Pomiar przy pomocy modułu w postaci kostki przenoszonej pomiędzy kardiomonitorami, pełna obsługa z ekranu kardiomonitora. W przypadku urządzeń zewnętrznych należy zaoferować funkcjonalność wyświetlania danych na kardiomonitorze głównym wraz z możliwością integracji tych danych.</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 xml:space="preserve">TAK,  2 </w:t>
            </w:r>
            <w:proofErr w:type="spellStart"/>
            <w:r w:rsidRPr="00FE4424">
              <w:rPr>
                <w:rFonts w:cstheme="minorHAnsi"/>
                <w:sz w:val="24"/>
                <w:szCs w:val="24"/>
              </w:rPr>
              <w:t>szt</w:t>
            </w:r>
            <w:proofErr w:type="spellEnd"/>
            <w:r w:rsidRPr="00FE4424">
              <w:rPr>
                <w:rFonts w:cstheme="minorHAnsi"/>
                <w:sz w:val="24"/>
                <w:szCs w:val="24"/>
              </w:rPr>
              <w:t xml:space="preserve"> moduły</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b/>
                <w:bCs/>
                <w:sz w:val="24"/>
                <w:szCs w:val="24"/>
              </w:rPr>
            </w:pPr>
            <w:r w:rsidRPr="00FE4424">
              <w:rPr>
                <w:rFonts w:cstheme="minorHAnsi"/>
                <w:b/>
                <w:bCs/>
                <w:sz w:val="24"/>
                <w:szCs w:val="24"/>
              </w:rPr>
              <w:t xml:space="preserve">Pomiar kapnografii (etCO2) </w:t>
            </w:r>
          </w:p>
          <w:p w:rsidR="00320BF8" w:rsidRPr="00FE4424" w:rsidRDefault="00320BF8" w:rsidP="00320BF8">
            <w:pPr>
              <w:spacing w:after="0" w:line="240" w:lineRule="auto"/>
              <w:rPr>
                <w:rFonts w:cstheme="minorHAnsi"/>
                <w:bCs/>
                <w:sz w:val="24"/>
                <w:szCs w:val="24"/>
              </w:rPr>
            </w:pPr>
            <w:r w:rsidRPr="00FE4424">
              <w:rPr>
                <w:rFonts w:cstheme="minorHAnsi"/>
                <w:bCs/>
                <w:sz w:val="24"/>
                <w:szCs w:val="24"/>
              </w:rPr>
              <w:t>Pomiar w technologii umożliwiającej monitorowanie pacjentów zaintubowanych oraz niezaintubowanych (</w:t>
            </w:r>
            <w:proofErr w:type="spellStart"/>
            <w:r w:rsidRPr="00FE4424">
              <w:rPr>
                <w:rFonts w:cstheme="minorHAnsi"/>
                <w:bCs/>
                <w:sz w:val="24"/>
                <w:szCs w:val="24"/>
              </w:rPr>
              <w:t>Microstream</w:t>
            </w:r>
            <w:proofErr w:type="spellEnd"/>
            <w:r w:rsidRPr="00FE4424">
              <w:rPr>
                <w:rFonts w:cstheme="minorHAnsi"/>
                <w:bCs/>
                <w:sz w:val="24"/>
                <w:szCs w:val="24"/>
              </w:rPr>
              <w:t xml:space="preserve"> lub </w:t>
            </w:r>
            <w:proofErr w:type="spellStart"/>
            <w:r w:rsidRPr="00FE4424">
              <w:rPr>
                <w:rFonts w:cstheme="minorHAnsi"/>
                <w:bCs/>
                <w:sz w:val="24"/>
                <w:szCs w:val="24"/>
              </w:rPr>
              <w:t>Phasin</w:t>
            </w:r>
            <w:proofErr w:type="spellEnd"/>
            <w:r w:rsidRPr="00FE4424">
              <w:rPr>
                <w:rFonts w:cstheme="minorHAnsi"/>
                <w:bCs/>
                <w:sz w:val="24"/>
                <w:szCs w:val="24"/>
              </w:rPr>
              <w:t xml:space="preserve"> lub strumień boczny). Moduł przenoszony pomiędzy kardiomonitorami z możliwością pracy w transporcie razem z monitorem transportowym. </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 2 moduły</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Pomiar ciśnienia śródczaszkowego ICP w module przenoszonym między kardiomonitorami.</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 1 moduł</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wyświetlenia na monitorze para</w:t>
            </w:r>
            <w:r w:rsidR="00080B7F" w:rsidRPr="00FE4424">
              <w:rPr>
                <w:rFonts w:cstheme="minorHAnsi"/>
                <w:sz w:val="24"/>
                <w:szCs w:val="24"/>
              </w:rPr>
              <w:t xml:space="preserve">metrów podłączonego respiratora min. Evita XL, </w:t>
            </w:r>
            <w:proofErr w:type="spellStart"/>
            <w:r w:rsidR="00080B7F" w:rsidRPr="00FE4424">
              <w:rPr>
                <w:rFonts w:cstheme="minorHAnsi"/>
                <w:sz w:val="24"/>
                <w:szCs w:val="24"/>
              </w:rPr>
              <w:t>Servo</w:t>
            </w:r>
            <w:proofErr w:type="spellEnd"/>
            <w:r w:rsidR="00080B7F" w:rsidRPr="00FE4424">
              <w:rPr>
                <w:rFonts w:cstheme="minorHAnsi"/>
                <w:sz w:val="24"/>
                <w:szCs w:val="24"/>
              </w:rPr>
              <w:t xml:space="preserve"> I, </w:t>
            </w:r>
            <w:proofErr w:type="spellStart"/>
            <w:r w:rsidR="00080B7F" w:rsidRPr="00FE4424">
              <w:rPr>
                <w:rFonts w:cstheme="minorHAnsi"/>
                <w:sz w:val="24"/>
                <w:szCs w:val="24"/>
              </w:rPr>
              <w:t>Servo</w:t>
            </w:r>
            <w:proofErr w:type="spellEnd"/>
            <w:r w:rsidR="00080B7F" w:rsidRPr="00FE4424">
              <w:rPr>
                <w:rFonts w:cstheme="minorHAnsi"/>
                <w:sz w:val="24"/>
                <w:szCs w:val="24"/>
              </w:rPr>
              <w:t xml:space="preserve"> U</w:t>
            </w:r>
          </w:p>
          <w:p w:rsidR="00320BF8" w:rsidRPr="00FE4424" w:rsidRDefault="00320BF8" w:rsidP="00320BF8">
            <w:pPr>
              <w:spacing w:after="0" w:line="240" w:lineRule="auto"/>
              <w:rPr>
                <w:rFonts w:cstheme="minorHAnsi"/>
                <w:sz w:val="24"/>
                <w:szCs w:val="24"/>
              </w:rPr>
            </w:pP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 2 moduły</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bCs/>
                <w:sz w:val="24"/>
                <w:szCs w:val="24"/>
              </w:rPr>
            </w:pPr>
            <w:r w:rsidRPr="00FE4424">
              <w:rPr>
                <w:rFonts w:cstheme="minorHAnsi"/>
                <w:bCs/>
                <w:sz w:val="24"/>
                <w:szCs w:val="24"/>
              </w:rPr>
              <w:t>Możliwość rozbudowy o</w:t>
            </w:r>
          </w:p>
          <w:p w:rsidR="00320BF8" w:rsidRPr="00FE4424" w:rsidRDefault="00320BF8" w:rsidP="00320BF8">
            <w:pPr>
              <w:spacing w:after="0" w:line="240" w:lineRule="auto"/>
              <w:rPr>
                <w:rFonts w:cstheme="minorHAnsi"/>
                <w:bCs/>
                <w:sz w:val="24"/>
                <w:szCs w:val="24"/>
              </w:rPr>
            </w:pPr>
            <w:r w:rsidRPr="00FE4424">
              <w:rPr>
                <w:rFonts w:cstheme="minorHAnsi"/>
                <w:bCs/>
                <w:sz w:val="24"/>
                <w:szCs w:val="24"/>
              </w:rPr>
              <w:t xml:space="preserve">Pomiar czynności mózgu (BIS lub </w:t>
            </w:r>
            <w:proofErr w:type="spellStart"/>
            <w:r w:rsidRPr="00FE4424">
              <w:rPr>
                <w:rFonts w:cstheme="minorHAnsi"/>
                <w:bCs/>
                <w:sz w:val="24"/>
                <w:szCs w:val="24"/>
              </w:rPr>
              <w:t>SedLine</w:t>
            </w:r>
            <w:proofErr w:type="spellEnd"/>
            <w:r w:rsidRPr="00FE4424">
              <w:rPr>
                <w:rFonts w:cstheme="minorHAnsi"/>
                <w:bCs/>
                <w:sz w:val="24"/>
                <w:szCs w:val="24"/>
              </w:rPr>
              <w:t>)</w:t>
            </w:r>
          </w:p>
          <w:p w:rsidR="00320BF8" w:rsidRPr="00FE4424" w:rsidRDefault="00320BF8" w:rsidP="00320BF8">
            <w:pPr>
              <w:spacing w:after="0" w:line="240" w:lineRule="auto"/>
              <w:rPr>
                <w:rFonts w:cstheme="minorHAnsi"/>
                <w:bCs/>
                <w:sz w:val="24"/>
                <w:szCs w:val="24"/>
              </w:rPr>
            </w:pPr>
            <w:r w:rsidRPr="00FE4424">
              <w:rPr>
                <w:rFonts w:cstheme="minorHAnsi"/>
                <w:bCs/>
                <w:sz w:val="24"/>
                <w:szCs w:val="24"/>
              </w:rPr>
              <w:t xml:space="preserve">Pomiar przy pomocy modułu w postaci kostki przenoszonej pomiędzy kardiomonitorami, pełna obsługa z ekranu kardiomonitora. Nie dopuszcza się urządzeń zewnętrznych. Możliwość prezentacji krzywej EEG oraz min. następujących parametrów: PSI, EMG, SR, SEF L/SEF R. </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 xml:space="preserve">TAK, </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bCs/>
                <w:sz w:val="24"/>
                <w:szCs w:val="24"/>
              </w:rPr>
            </w:pPr>
            <w:r w:rsidRPr="00FE4424">
              <w:rPr>
                <w:rFonts w:cstheme="minorHAnsi"/>
                <w:bCs/>
                <w:sz w:val="24"/>
                <w:szCs w:val="24"/>
              </w:rPr>
              <w:t>Możliwość rozbudowy o</w:t>
            </w:r>
          </w:p>
          <w:p w:rsidR="00320BF8" w:rsidRPr="00FE4424" w:rsidRDefault="00320BF8" w:rsidP="00320BF8">
            <w:pPr>
              <w:spacing w:after="0" w:line="240" w:lineRule="auto"/>
              <w:rPr>
                <w:rFonts w:cstheme="minorHAnsi"/>
                <w:bCs/>
                <w:sz w:val="24"/>
                <w:szCs w:val="24"/>
              </w:rPr>
            </w:pPr>
          </w:p>
          <w:p w:rsidR="00320BF8" w:rsidRPr="00FE4424" w:rsidRDefault="00320BF8" w:rsidP="00320BF8">
            <w:pPr>
              <w:spacing w:after="0" w:line="240" w:lineRule="auto"/>
              <w:rPr>
                <w:rFonts w:cstheme="minorHAnsi"/>
                <w:bCs/>
                <w:sz w:val="24"/>
                <w:szCs w:val="24"/>
              </w:rPr>
            </w:pPr>
            <w:r w:rsidRPr="00FE4424">
              <w:rPr>
                <w:rFonts w:cstheme="minorHAnsi"/>
                <w:bCs/>
                <w:sz w:val="24"/>
                <w:szCs w:val="24"/>
              </w:rPr>
              <w:t>Pomiar regionalnej saturacji tlenowej (oksymetria regionalna O3)</w:t>
            </w:r>
          </w:p>
          <w:p w:rsidR="00320BF8" w:rsidRPr="00FE4424" w:rsidRDefault="00320BF8" w:rsidP="00320BF8">
            <w:pPr>
              <w:spacing w:after="0" w:line="240" w:lineRule="auto"/>
              <w:rPr>
                <w:rFonts w:cstheme="minorHAnsi"/>
                <w:bCs/>
                <w:sz w:val="24"/>
                <w:szCs w:val="24"/>
              </w:rPr>
            </w:pPr>
            <w:r w:rsidRPr="00FE4424">
              <w:rPr>
                <w:rFonts w:cstheme="minorHAnsi"/>
                <w:bCs/>
                <w:sz w:val="24"/>
                <w:szCs w:val="24"/>
              </w:rPr>
              <w:t xml:space="preserve">Pomiar przy pomocy modułu w postaci kostki przenoszonej pomiędzy kardiomonitorami, pełna obsługa z ekranu kardiomonitora. W przypadku urządzeń zewnętrznych należy zaoferować funkcjonalność wyświetlania danych na kardiomonitorze głównym wraz z możliwością integracji tych danych. </w:t>
            </w:r>
          </w:p>
          <w:p w:rsidR="00320BF8" w:rsidRPr="00FE4424" w:rsidRDefault="00320BF8" w:rsidP="00320BF8">
            <w:pPr>
              <w:spacing w:after="0" w:line="240" w:lineRule="auto"/>
              <w:rPr>
                <w:rFonts w:cstheme="minorHAnsi"/>
                <w:bCs/>
                <w:sz w:val="24"/>
                <w:szCs w:val="24"/>
              </w:rPr>
            </w:pPr>
            <w:r w:rsidRPr="00FE4424">
              <w:rPr>
                <w:rFonts w:cstheme="minorHAnsi"/>
                <w:bCs/>
                <w:sz w:val="24"/>
                <w:szCs w:val="24"/>
              </w:rPr>
              <w:t xml:space="preserve">Prezentacja min. następujących odczytów numerycznych: rSO2, AUC, delta </w:t>
            </w:r>
            <w:proofErr w:type="spellStart"/>
            <w:r w:rsidRPr="00FE4424">
              <w:rPr>
                <w:rFonts w:cstheme="minorHAnsi"/>
                <w:bCs/>
                <w:sz w:val="24"/>
                <w:szCs w:val="24"/>
              </w:rPr>
              <w:t>Bsl</w:t>
            </w:r>
            <w:proofErr w:type="spellEnd"/>
            <w:r w:rsidRPr="00FE4424">
              <w:rPr>
                <w:rFonts w:cstheme="minorHAnsi"/>
                <w:bCs/>
                <w:sz w:val="24"/>
                <w:szCs w:val="24"/>
              </w:rPr>
              <w:t>, ręcznie ustawiana wartość wyjściowa pomiaru rSO2. Możliwość rozbudowy o podłączenie do 2 czujników do oksymetrii regionalnej celem jednoczesnego prowadzenia dwóch pomiarów rSO2.</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 xml:space="preserve">TAK, </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rozbudowy o dostęp na ekranie kardiomonitora do danych ze szpitalnego systemu informatycznego (np. wyników badań laboratoryjnych, obrazowych itp.).</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Możliwość rozbudowy o dodatkowy aktywny wyświetlacz o takiej samej konstrukcji (min. IP21, rozdzielczość </w:t>
            </w:r>
            <w:proofErr w:type="spellStart"/>
            <w:r w:rsidRPr="00FE4424">
              <w:rPr>
                <w:rFonts w:cstheme="minorHAnsi"/>
                <w:sz w:val="24"/>
                <w:szCs w:val="24"/>
              </w:rPr>
              <w:t>full</w:t>
            </w:r>
            <w:proofErr w:type="spellEnd"/>
            <w:r w:rsidRPr="00FE4424">
              <w:rPr>
                <w:rFonts w:cstheme="minorHAnsi"/>
                <w:sz w:val="24"/>
                <w:szCs w:val="24"/>
              </w:rPr>
              <w:t xml:space="preserve"> HD i min. 19”) z możliwością niezależnego wyświetlania danych oraz transfer alarmów. Produkt medyczny dedykowany i certyfikowany przez tego samego producenta. Komunikacja z kardiomonitorem poprzez szyfrowane połącznie sieciowe (</w:t>
            </w:r>
            <w:proofErr w:type="spellStart"/>
            <w:r w:rsidRPr="00FE4424">
              <w:rPr>
                <w:rFonts w:cstheme="minorHAnsi"/>
                <w:sz w:val="24"/>
                <w:szCs w:val="24"/>
              </w:rPr>
              <w:t>przesył</w:t>
            </w:r>
            <w:proofErr w:type="spellEnd"/>
            <w:r w:rsidRPr="00FE4424">
              <w:rPr>
                <w:rFonts w:cstheme="minorHAnsi"/>
                <w:sz w:val="24"/>
                <w:szCs w:val="24"/>
              </w:rPr>
              <w:t xml:space="preserve"> alarmów również szyfrowany).</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19-20” – 0 pkt</w:t>
            </w:r>
          </w:p>
          <w:p w:rsidR="00320BF8" w:rsidRPr="00FE4424" w:rsidRDefault="00320BF8" w:rsidP="00320BF8">
            <w:pPr>
              <w:widowControl w:val="0"/>
              <w:spacing w:after="0" w:line="240" w:lineRule="auto"/>
              <w:rPr>
                <w:rFonts w:eastAsia="Lucida Sans Unicode" w:cstheme="minorHAnsi"/>
                <w:sz w:val="24"/>
                <w:szCs w:val="24"/>
                <w:lang w:eastAsia="zh-CN" w:bidi="hi-IN"/>
              </w:rPr>
            </w:pPr>
            <w:r w:rsidRPr="00FE4424">
              <w:rPr>
                <w:rFonts w:cstheme="minorHAnsi"/>
                <w:sz w:val="24"/>
                <w:szCs w:val="24"/>
              </w:rPr>
              <w:t>&gt;21” – 5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Montaż kardiomonitorów na półkach przy łózkach pacjenta – w miejscu obecnie zainstalowanych kardiomonitorów</w:t>
            </w:r>
          </w:p>
          <w:p w:rsidR="00320BF8" w:rsidRPr="00FE4424" w:rsidRDefault="00320BF8" w:rsidP="00320BF8">
            <w:pPr>
              <w:spacing w:after="0" w:line="240" w:lineRule="auto"/>
              <w:rPr>
                <w:rFonts w:cstheme="minorHAnsi"/>
                <w:sz w:val="24"/>
                <w:szCs w:val="24"/>
              </w:rPr>
            </w:pP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Trendy graficzne i tabelaryczne mierzonych parametrów z okresu min. 96 godzin.</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rozbudowy o bezprzewodową komunikację z centralą monitorującą.</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Aplikacje ułatwiające monitorowanie i wspierające decyzje kliniczne:</w:t>
            </w:r>
          </w:p>
          <w:p w:rsidR="00320BF8" w:rsidRPr="00FE4424" w:rsidRDefault="00320BF8" w:rsidP="00320BF8">
            <w:pPr>
              <w:spacing w:after="0" w:line="240" w:lineRule="auto"/>
              <w:rPr>
                <w:rFonts w:cstheme="minorHAnsi"/>
                <w:sz w:val="24"/>
                <w:szCs w:val="24"/>
              </w:rPr>
            </w:pPr>
            <w:r w:rsidRPr="00FE4424">
              <w:rPr>
                <w:rFonts w:cstheme="minorHAnsi"/>
                <w:sz w:val="24"/>
                <w:szCs w:val="24"/>
              </w:rPr>
              <w:t>- możliwość rejestracji zdarzeń powiązanych (</w:t>
            </w:r>
            <w:proofErr w:type="spellStart"/>
            <w:r w:rsidRPr="00FE4424">
              <w:rPr>
                <w:rFonts w:cstheme="minorHAnsi"/>
                <w:sz w:val="24"/>
                <w:szCs w:val="24"/>
              </w:rPr>
              <w:t>apnea</w:t>
            </w:r>
            <w:proofErr w:type="spellEnd"/>
            <w:r w:rsidRPr="00FE4424">
              <w:rPr>
                <w:rFonts w:cstheme="minorHAnsi"/>
                <w:sz w:val="24"/>
                <w:szCs w:val="24"/>
              </w:rPr>
              <w:t xml:space="preserve">, bradykardia, </w:t>
            </w:r>
            <w:proofErr w:type="spellStart"/>
            <w:r w:rsidRPr="00FE4424">
              <w:rPr>
                <w:rFonts w:cstheme="minorHAnsi"/>
                <w:sz w:val="24"/>
                <w:szCs w:val="24"/>
              </w:rPr>
              <w:t>desaturacja</w:t>
            </w:r>
            <w:proofErr w:type="spellEnd"/>
            <w:r w:rsidRPr="00FE4424">
              <w:rPr>
                <w:rFonts w:cstheme="minorHAnsi"/>
                <w:sz w:val="24"/>
                <w:szCs w:val="24"/>
              </w:rPr>
              <w:t>) z okresu min. 24 godzin; możliwość edycji kryteriów</w:t>
            </w:r>
          </w:p>
          <w:p w:rsidR="00320BF8" w:rsidRPr="00FE4424" w:rsidRDefault="00320BF8" w:rsidP="00320BF8">
            <w:pPr>
              <w:spacing w:after="0" w:line="240" w:lineRule="auto"/>
              <w:rPr>
                <w:rFonts w:cstheme="minorHAnsi"/>
                <w:sz w:val="24"/>
                <w:szCs w:val="24"/>
              </w:rPr>
            </w:pPr>
            <w:r w:rsidRPr="00FE4424">
              <w:rPr>
                <w:rFonts w:cstheme="minorHAnsi"/>
                <w:sz w:val="24"/>
                <w:szCs w:val="24"/>
              </w:rPr>
              <w:t>- możliwość wyświetlania histogramów danych saturacji</w:t>
            </w:r>
          </w:p>
          <w:p w:rsidR="00320BF8" w:rsidRPr="00FE4424" w:rsidRDefault="00320BF8" w:rsidP="00320BF8">
            <w:pPr>
              <w:spacing w:after="0" w:line="240" w:lineRule="auto"/>
              <w:rPr>
                <w:rFonts w:cstheme="minorHAnsi"/>
                <w:sz w:val="24"/>
                <w:szCs w:val="24"/>
              </w:rPr>
            </w:pPr>
            <w:r w:rsidRPr="00FE4424">
              <w:rPr>
                <w:rFonts w:cstheme="minorHAnsi"/>
                <w:sz w:val="24"/>
                <w:szCs w:val="24"/>
              </w:rPr>
              <w:t>- możliwość rozbudowy o aplikację typu EWS – wczesnego ostrzegania o pogorszającym się stanie pacjenta</w:t>
            </w:r>
          </w:p>
          <w:p w:rsidR="00320BF8" w:rsidRPr="00FE4424" w:rsidRDefault="00320BF8" w:rsidP="00320BF8">
            <w:pPr>
              <w:spacing w:after="0" w:line="240" w:lineRule="auto"/>
              <w:rPr>
                <w:rFonts w:cstheme="minorHAnsi"/>
                <w:sz w:val="24"/>
                <w:szCs w:val="24"/>
              </w:rPr>
            </w:pPr>
            <w:r w:rsidRPr="00FE4424">
              <w:rPr>
                <w:rFonts w:cstheme="minorHAnsi"/>
                <w:sz w:val="24"/>
                <w:szCs w:val="24"/>
              </w:rPr>
              <w:t>- możliwość ustawienia dowolnych stoperów i zegarów.</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rozbudowy o funkcję zintegrowanego komputera z niezależnym od systemu kardiomonitora systemem operacyjnym, pozwalającego na instalację własnych aplikacji Użytkownika oraz dostęp do aplikacji znajdujących się w sieci informatycznej szpitala bezpośrednio przy łóżku pacjenta.</w:t>
            </w:r>
          </w:p>
        </w:tc>
        <w:tc>
          <w:tcPr>
            <w:tcW w:w="1489"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doposażenia w kolejne moduły pomiarowe innych parametrów NMT, EEG, moduł gazów anestetycznych, moduł drukarki termicznej.</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Możliwość rozbudowy o moduł lub urządzenie zewnętrzne umożliwiające </w:t>
            </w:r>
            <w:r w:rsidRPr="00FE4424">
              <w:rPr>
                <w:rFonts w:cstheme="minorHAnsi"/>
                <w:bCs/>
                <w:sz w:val="24"/>
                <w:szCs w:val="24"/>
              </w:rPr>
              <w:t>pomiaru bólu</w:t>
            </w:r>
            <w:r w:rsidRPr="00FE4424">
              <w:rPr>
                <w:rFonts w:cstheme="minorHAnsi"/>
                <w:sz w:val="24"/>
                <w:szCs w:val="24"/>
              </w:rPr>
              <w:t xml:space="preserve"> poprzez wykrywanie zmian przewodnictwa skóry bezpośrednio korelujących ze współczulnym układem nerwowym skóry. Prezentacji danych na ekranie kardiomonitora głównego. Możliwość prezentacji min. parametrów dotyczących poziomu bólu, indeksu wybudzenia oraz indeksu blokady nerwowej. Pomiar niezależny od niestabilności hemodynamicznej lub oddechowej. </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sz w:val="24"/>
                <w:szCs w:val="24"/>
              </w:rPr>
              <w:t>TAK/NIE</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jc w:val="center"/>
              <w:rPr>
                <w:rFonts w:cstheme="minorHAnsi"/>
                <w:sz w:val="24"/>
                <w:szCs w:val="24"/>
              </w:rPr>
            </w:pPr>
            <w:r w:rsidRPr="00FE4424">
              <w:rPr>
                <w:rFonts w:cstheme="minorHAnsi"/>
                <w:sz w:val="24"/>
                <w:szCs w:val="24"/>
              </w:rPr>
              <w:t>Pomiar wszystkich grup wiekowych: TAK – 10 pkt</w:t>
            </w:r>
          </w:p>
          <w:p w:rsidR="00320BF8" w:rsidRPr="00FE4424" w:rsidRDefault="00320BF8" w:rsidP="00320BF8">
            <w:pPr>
              <w:widowControl w:val="0"/>
              <w:spacing w:after="0" w:line="240" w:lineRule="auto"/>
              <w:rPr>
                <w:rFonts w:eastAsia="Lucida Sans Unicode" w:cstheme="minorHAnsi"/>
                <w:sz w:val="24"/>
                <w:szCs w:val="24"/>
                <w:lang w:eastAsia="zh-CN" w:bidi="hi-IN"/>
              </w:rPr>
            </w:pPr>
            <w:r w:rsidRPr="00FE4424">
              <w:rPr>
                <w:rFonts w:cstheme="minorHAnsi"/>
                <w:sz w:val="24"/>
                <w:szCs w:val="24"/>
              </w:rPr>
              <w:t>NIE – 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b/>
                <w:bCs/>
                <w:sz w:val="24"/>
                <w:szCs w:val="24"/>
              </w:rPr>
            </w:pPr>
            <w:r w:rsidRPr="00FE4424">
              <w:rPr>
                <w:rFonts w:cstheme="minorHAnsi"/>
                <w:b/>
                <w:bCs/>
                <w:sz w:val="24"/>
                <w:szCs w:val="24"/>
              </w:rPr>
              <w:t>Wyposażenie startowe każdego z monitorów:</w:t>
            </w:r>
          </w:p>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 wielorazowy przewód główny EKG </w:t>
            </w:r>
          </w:p>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 wielorazowe </w:t>
            </w:r>
            <w:proofErr w:type="spellStart"/>
            <w:r w:rsidRPr="00FE4424">
              <w:rPr>
                <w:rFonts w:cstheme="minorHAnsi"/>
                <w:sz w:val="24"/>
                <w:szCs w:val="24"/>
              </w:rPr>
              <w:t>odpr</w:t>
            </w:r>
            <w:proofErr w:type="spellEnd"/>
            <w:r w:rsidRPr="00FE4424">
              <w:rPr>
                <w:rFonts w:cstheme="minorHAnsi"/>
                <w:sz w:val="24"/>
                <w:szCs w:val="24"/>
              </w:rPr>
              <w:t xml:space="preserve">. EKG 5-lead oraz 10 </w:t>
            </w:r>
            <w:proofErr w:type="spellStart"/>
            <w:r w:rsidRPr="00FE4424">
              <w:rPr>
                <w:rFonts w:cstheme="minorHAnsi"/>
                <w:sz w:val="24"/>
                <w:szCs w:val="24"/>
              </w:rPr>
              <w:t>Lead</w:t>
            </w:r>
            <w:proofErr w:type="spellEnd"/>
          </w:p>
          <w:p w:rsidR="00320BF8" w:rsidRPr="00FE4424" w:rsidRDefault="00320BF8" w:rsidP="00320BF8">
            <w:pPr>
              <w:spacing w:after="0" w:line="240" w:lineRule="auto"/>
              <w:rPr>
                <w:rFonts w:cstheme="minorHAnsi"/>
                <w:sz w:val="24"/>
                <w:szCs w:val="24"/>
              </w:rPr>
            </w:pPr>
            <w:r w:rsidRPr="00FE4424">
              <w:rPr>
                <w:rFonts w:cstheme="minorHAnsi"/>
                <w:sz w:val="24"/>
                <w:szCs w:val="24"/>
              </w:rPr>
              <w:t>- wielorazowy przewód do podłączenia wielorazowych mankietów do nieinwazyjnego pomiaru ciśnienia krwi</w:t>
            </w:r>
          </w:p>
          <w:p w:rsidR="00320BF8" w:rsidRPr="00FE4424" w:rsidRDefault="00320BF8" w:rsidP="00320BF8">
            <w:pPr>
              <w:spacing w:after="0" w:line="240" w:lineRule="auto"/>
              <w:rPr>
                <w:rFonts w:cstheme="minorHAnsi"/>
                <w:sz w:val="24"/>
                <w:szCs w:val="24"/>
              </w:rPr>
            </w:pPr>
            <w:r w:rsidRPr="00FE4424">
              <w:rPr>
                <w:rFonts w:cstheme="minorHAnsi"/>
                <w:sz w:val="24"/>
                <w:szCs w:val="24"/>
              </w:rPr>
              <w:t>- zestaw wielorazowych mankietów dla noworodków, dzieci i dorosłych (4 rozmiary)</w:t>
            </w:r>
          </w:p>
          <w:p w:rsidR="00320BF8" w:rsidRPr="00FE4424" w:rsidRDefault="00320BF8" w:rsidP="00320BF8">
            <w:pPr>
              <w:spacing w:after="0" w:line="240" w:lineRule="auto"/>
              <w:rPr>
                <w:rFonts w:cstheme="minorHAnsi"/>
                <w:sz w:val="24"/>
                <w:szCs w:val="24"/>
              </w:rPr>
            </w:pPr>
            <w:r w:rsidRPr="00FE4424">
              <w:rPr>
                <w:rFonts w:cstheme="minorHAnsi"/>
                <w:sz w:val="24"/>
                <w:szCs w:val="24"/>
              </w:rPr>
              <w:t>- czujnik saturacji dla dorosłych wielorazowy gumowy</w:t>
            </w:r>
          </w:p>
          <w:p w:rsidR="00320BF8" w:rsidRPr="00FE4424" w:rsidRDefault="00320BF8" w:rsidP="00320BF8">
            <w:pPr>
              <w:spacing w:after="0" w:line="240" w:lineRule="auto"/>
              <w:rPr>
                <w:rFonts w:cstheme="minorHAnsi"/>
                <w:sz w:val="24"/>
                <w:szCs w:val="24"/>
              </w:rPr>
            </w:pPr>
            <w:r w:rsidRPr="00FE4424">
              <w:rPr>
                <w:rFonts w:cstheme="minorHAnsi"/>
                <w:sz w:val="24"/>
                <w:szCs w:val="24"/>
              </w:rPr>
              <w:t>- czujnik temperatury wielorazowy skórny</w:t>
            </w:r>
          </w:p>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 przewód do ciśnienia krwawego typu Edwards </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b/>
                <w:bCs/>
                <w:sz w:val="24"/>
                <w:szCs w:val="24"/>
              </w:rPr>
            </w:pPr>
            <w:r w:rsidRPr="00FE4424">
              <w:rPr>
                <w:rFonts w:cstheme="minorHAnsi"/>
                <w:sz w:val="24"/>
                <w:szCs w:val="24"/>
              </w:rPr>
              <w:t>Licencje na kardiomonitory tzn. serwerowe , które będą znajdować się na przestrzeni dyskowej Zamawiającego w miejscu wyznaczonym przez dział IT.</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D9D9D9" w:themeFill="background1" w:themeFillShade="D9"/>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eastAsiaTheme="minorEastAsia" w:cstheme="minorHAnsi"/>
                <w:sz w:val="24"/>
                <w:szCs w:val="24"/>
              </w:rPr>
              <w:t>Stacja centralnego monitorowania do podłączenia oferowanych kardiomonitorów – 2 szt.(sala R oraz gabinet lekarski)</w:t>
            </w:r>
          </w:p>
        </w:tc>
        <w:tc>
          <w:tcPr>
            <w:tcW w:w="1489" w:type="dxa"/>
            <w:shd w:val="clear" w:color="auto" w:fill="D9D9D9" w:themeFill="background1" w:themeFillShade="D9"/>
            <w:tcMar>
              <w:left w:w="60" w:type="dxa"/>
            </w:tcMar>
          </w:tcPr>
          <w:p w:rsidR="00320BF8" w:rsidRPr="00FE4424" w:rsidRDefault="00320BF8" w:rsidP="00320BF8">
            <w:pPr>
              <w:widowControl w:val="0"/>
              <w:snapToGrid w:val="0"/>
              <w:spacing w:after="0" w:line="240" w:lineRule="auto"/>
              <w:jc w:val="center"/>
              <w:rPr>
                <w:rFonts w:cstheme="minorHAnsi"/>
                <w:kern w:val="2"/>
                <w:sz w:val="24"/>
                <w:szCs w:val="24"/>
                <w14:ligatures w14:val="standardContextual"/>
              </w:rPr>
            </w:pPr>
            <w:r w:rsidRPr="00FE4424">
              <w:rPr>
                <w:rFonts w:cstheme="minorHAnsi"/>
                <w:kern w:val="2"/>
                <w:sz w:val="24"/>
                <w:szCs w:val="24"/>
                <w14:ligatures w14:val="standardContextual"/>
              </w:rPr>
              <w:t>TAK</w:t>
            </w:r>
          </w:p>
        </w:tc>
        <w:tc>
          <w:tcPr>
            <w:tcW w:w="1346" w:type="dxa"/>
            <w:shd w:val="clear" w:color="auto" w:fill="D9D9D9" w:themeFill="background1" w:themeFillShade="D9"/>
            <w:tcMar>
              <w:left w:w="60" w:type="dxa"/>
            </w:tcMar>
            <w:vAlign w:val="bottom"/>
          </w:tcPr>
          <w:p w:rsidR="00320BF8" w:rsidRPr="00FE4424" w:rsidRDefault="00320BF8" w:rsidP="00320BF8">
            <w:pPr>
              <w:spacing w:after="0" w:line="240" w:lineRule="auto"/>
              <w:rPr>
                <w:rFonts w:eastAsia="Calibri" w:cstheme="minorHAnsi"/>
                <w:sz w:val="24"/>
                <w:szCs w:val="24"/>
              </w:rPr>
            </w:pPr>
          </w:p>
        </w:tc>
        <w:tc>
          <w:tcPr>
            <w:tcW w:w="1373" w:type="dxa"/>
            <w:shd w:val="clear" w:color="auto" w:fill="D9D9D9" w:themeFill="background1" w:themeFillShade="D9"/>
            <w:vAlign w:val="center"/>
          </w:tcPr>
          <w:p w:rsidR="00320BF8" w:rsidRPr="00FE4424" w:rsidRDefault="00320BF8" w:rsidP="00320BF8">
            <w:pPr>
              <w:spacing w:after="0" w:line="240" w:lineRule="auto"/>
              <w:rPr>
                <w:rFonts w:eastAsia="Calibri" w:cstheme="minorHAnsi"/>
                <w:sz w:val="24"/>
                <w:szCs w:val="24"/>
              </w:rPr>
            </w:pPr>
          </w:p>
        </w:tc>
        <w:tc>
          <w:tcPr>
            <w:tcW w:w="1821" w:type="dxa"/>
            <w:shd w:val="clear" w:color="auto" w:fill="D9D9D9" w:themeFill="background1" w:themeFillShade="D9"/>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Oferent musi połączyć zaoferowany system z serwerem posiadanym przez Zamawiającego Philips </w:t>
            </w:r>
            <w:proofErr w:type="spellStart"/>
            <w:r w:rsidRPr="00FE4424">
              <w:rPr>
                <w:rFonts w:cstheme="minorHAnsi"/>
                <w:sz w:val="24"/>
                <w:szCs w:val="24"/>
              </w:rPr>
              <w:t>IntellIVUe</w:t>
            </w:r>
            <w:proofErr w:type="spellEnd"/>
            <w:r w:rsidRPr="00FE4424">
              <w:rPr>
                <w:rFonts w:cstheme="minorHAnsi"/>
                <w:sz w:val="24"/>
                <w:szCs w:val="24"/>
              </w:rPr>
              <w:t xml:space="preserve">  Dorosłych w jeden centralny system, który będzie zarządzany z jednego serwera wymiany danych (serwer i wymagane licencje po stronie Oferenta). Jeżeli będzie taka konieczność to po stronie Oferenta </w:t>
            </w:r>
            <w:proofErr w:type="spellStart"/>
            <w:r w:rsidRPr="00FE4424">
              <w:rPr>
                <w:rFonts w:cstheme="minorHAnsi"/>
                <w:sz w:val="24"/>
                <w:szCs w:val="24"/>
              </w:rPr>
              <w:t>upgrade</w:t>
            </w:r>
            <w:proofErr w:type="spellEnd"/>
            <w:r w:rsidRPr="00FE4424">
              <w:rPr>
                <w:rFonts w:cstheme="minorHAnsi"/>
                <w:sz w:val="24"/>
                <w:szCs w:val="24"/>
              </w:rPr>
              <w:t xml:space="preserve"> posiadanego systemu lub posiadanych urządzeń tj. monitorów serii MX, central monitorujących itp. </w:t>
            </w:r>
          </w:p>
          <w:p w:rsidR="00320BF8" w:rsidRPr="00FE4424" w:rsidRDefault="00320BF8" w:rsidP="00320BF8">
            <w:pPr>
              <w:spacing w:after="0" w:line="240" w:lineRule="auto"/>
              <w:rPr>
                <w:rFonts w:cstheme="minorHAnsi"/>
                <w:sz w:val="24"/>
                <w:szCs w:val="24"/>
                <w:highlight w:val="green"/>
              </w:rPr>
            </w:pPr>
            <w:r w:rsidRPr="00FE4424">
              <w:rPr>
                <w:rFonts w:cstheme="minorHAnsi"/>
                <w:sz w:val="24"/>
                <w:szCs w:val="24"/>
              </w:rPr>
              <w:t xml:space="preserve">System musi umożliwiać elastyczną regulację przypisanych licencji pomiędzy centralami, które są podpięte pod jeden serwer wymiany danych. Możliwość przepisywania pacjentów pomiędzy centralami oraz oddziałami z zachowaniem ciągłości danych. Możliwość udostępniania przeglądów specjalistycznych typu raport 12-EKG celem wykonania konsultacji np. kardiologicznych. Możliwość podglądu jednego pacjenta na kilku różnych centralach i kilku różnych kardiomonitorach.  </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Stacja centralnego monitorowania wyposażona w dedykowany komputer klasy desktop z systemem operacyjnym Windows posiadający aktualne wsparcie techniczne producenta. Funkcja automatycznego tworzenia kopii zapasowej danych umożliwiająca szybkie przywrócenie działania systemu w razie awarii. </w:t>
            </w:r>
          </w:p>
          <w:p w:rsidR="00320BF8" w:rsidRPr="00FE4424" w:rsidRDefault="00320BF8" w:rsidP="00320BF8">
            <w:pPr>
              <w:spacing w:after="0" w:line="240" w:lineRule="auto"/>
              <w:rPr>
                <w:rFonts w:cstheme="minorHAnsi"/>
                <w:iCs/>
                <w:sz w:val="24"/>
                <w:szCs w:val="24"/>
              </w:rPr>
            </w:pPr>
            <w:r w:rsidRPr="00FE4424">
              <w:rPr>
                <w:rFonts w:cstheme="minorHAnsi"/>
                <w:iCs/>
                <w:sz w:val="24"/>
                <w:szCs w:val="24"/>
              </w:rPr>
              <w:t>Stacja centralnego monitorowania tworzy automatyczną kopię dzięki zastosowaniu mechanizmu kontrolera RAID w dostarczonym komputerze centrali</w:t>
            </w:r>
          </w:p>
          <w:p w:rsidR="00320BF8" w:rsidRPr="00FE4424" w:rsidRDefault="00320BF8" w:rsidP="00320BF8">
            <w:pPr>
              <w:spacing w:after="0" w:line="240" w:lineRule="auto"/>
              <w:rPr>
                <w:rFonts w:cstheme="minorHAnsi"/>
                <w:sz w:val="24"/>
                <w:szCs w:val="24"/>
              </w:rPr>
            </w:pPr>
            <w:r w:rsidRPr="00FE4424">
              <w:rPr>
                <w:rFonts w:cstheme="minorHAnsi"/>
                <w:sz w:val="24"/>
                <w:szCs w:val="24"/>
              </w:rPr>
              <w:t>Parametry komputera min: procesor i5 3,5GHz, 32 GB RAM, 500 GB dysk M2, 2 x monitor 24 cale, UPS, klawiatura, mysz, drukarka laserowa z funkcją duplex.</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highlight w:val="green"/>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System przygotowany sprzętowo i programowo do rozbudowy o kolejne 2 urządzenia monitorujące </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Prezentacja danych pacjentów monitorowanych na 2 kolorowych ekranach typu LCD TFT o przekątnej co najmniej 24” i rozdzielczości Full HD.</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Podgląd, monitorowanie i zapis danych wszystkich parametrów i przebiegów falowych z kardiomonitorów - wyświetlanie wszystkich krzywych dynamicznych i wartości numerycznych.</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elastycznego konfigurowania układu ekranu z poziomu użytkownika (bez udziału serwisu), w tym:</w:t>
            </w:r>
          </w:p>
          <w:p w:rsidR="00320BF8" w:rsidRPr="00FE4424" w:rsidRDefault="00320BF8" w:rsidP="00320BF8">
            <w:pPr>
              <w:spacing w:after="0" w:line="240" w:lineRule="auto"/>
              <w:rPr>
                <w:rFonts w:cstheme="minorHAnsi"/>
                <w:sz w:val="24"/>
                <w:szCs w:val="24"/>
              </w:rPr>
            </w:pPr>
            <w:r w:rsidRPr="00FE4424">
              <w:rPr>
                <w:rFonts w:cstheme="minorHAnsi"/>
                <w:sz w:val="24"/>
                <w:szCs w:val="24"/>
              </w:rPr>
              <w:t>- zmiana wielkości okna (sektora) dla każdego pacjenta niezależnie</w:t>
            </w:r>
          </w:p>
          <w:p w:rsidR="00320BF8" w:rsidRPr="00FE4424" w:rsidRDefault="00320BF8" w:rsidP="00320BF8">
            <w:pPr>
              <w:spacing w:after="0" w:line="240" w:lineRule="auto"/>
              <w:rPr>
                <w:rFonts w:cstheme="minorHAnsi"/>
                <w:sz w:val="24"/>
                <w:szCs w:val="24"/>
              </w:rPr>
            </w:pPr>
            <w:r w:rsidRPr="00FE4424">
              <w:rPr>
                <w:rFonts w:cstheme="minorHAnsi"/>
                <w:sz w:val="24"/>
                <w:szCs w:val="24"/>
              </w:rPr>
              <w:t>- zmiana formatu i rodzaju wyświetlanych parametrów liczbowych i krzywych dynamicznych (dla każdego pacjenta niezależnie).</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Automatyczna oraz ręczna (przez Użytkownika) minimalizacja sektorów dla nieaktywnych kardiomonitorów. Automatyczne przywrócenie zapisu po włączeniu kardiomonitora. </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Możliwość przypisania do jednego pacjenta dwóch urządzeń monitorujących tj. kardiomonitora i monitora telemetrycznego.</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Alarmy 3-stopniowe (wizualne i akustyczne) z poszczególnych łóżek, z identyfikacją alarmującego łóżka.</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Sterowanie funkcjami kardiomonitorów, w tym ustawieniami alarmów i pomiarów, uruchamianie nieinwazyjnego pomiaru ciśnienia.</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Wpisywanie danych demograficznych pacjenta w centrali i w kardiomonitorach.</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Funkcja "holterowska": zapis ciągły przebiegów dynamicznych (w tym zapis 12 </w:t>
            </w:r>
            <w:proofErr w:type="spellStart"/>
            <w:r w:rsidRPr="00FE4424">
              <w:rPr>
                <w:rFonts w:cstheme="minorHAnsi"/>
                <w:sz w:val="24"/>
                <w:szCs w:val="24"/>
              </w:rPr>
              <w:t>odprowadzeń</w:t>
            </w:r>
            <w:proofErr w:type="spellEnd"/>
            <w:r w:rsidRPr="00FE4424">
              <w:rPr>
                <w:rFonts w:cstheme="minorHAnsi"/>
                <w:sz w:val="24"/>
                <w:szCs w:val="24"/>
              </w:rPr>
              <w:t xml:space="preserve"> EKG) z min. 7 ostatnich dni, z możliwością wglądu w dowolny fragment tego zapisu.</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Pamięć stanów krytycznych (alarmów arytmii i innych zdarzeń, z zapisem odcinków monitorowanych krzywych dynamicznych i wartości liczbowych). Funkcja wykonywania pomiarów na zapamiętanych krzywych / min. pomiar RR, QT.</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Zapis alarmów i zdarzeń z okresu min. 30 dni. Możliwość przeszukiwania listy według pacjenta lub oddziału, według kategorii alarmu oraz według rodzaju wykonywanych przez personel czynności działań (np. wyłączenie alarmu). Zapis dostępny do wyświetlenia lub eksportu do pamięci USB lub do udostępnionego dysku sieciowego.</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Sygnalizacja alarmowa zdarzeń związanych z zaburzeniami rytmu, w tym co najmniej:</w:t>
            </w:r>
          </w:p>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 </w:t>
            </w:r>
            <w:proofErr w:type="spellStart"/>
            <w:r w:rsidRPr="00FE4424">
              <w:rPr>
                <w:rFonts w:cstheme="minorHAnsi"/>
                <w:sz w:val="24"/>
                <w:szCs w:val="24"/>
              </w:rPr>
              <w:t>Asystolia</w:t>
            </w:r>
            <w:proofErr w:type="spellEnd"/>
          </w:p>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 </w:t>
            </w:r>
            <w:proofErr w:type="spellStart"/>
            <w:r w:rsidRPr="00FE4424">
              <w:rPr>
                <w:rFonts w:cstheme="minorHAnsi"/>
                <w:sz w:val="24"/>
                <w:szCs w:val="24"/>
              </w:rPr>
              <w:t>Vfib</w:t>
            </w:r>
            <w:proofErr w:type="spellEnd"/>
            <w:r w:rsidRPr="00FE4424">
              <w:rPr>
                <w:rFonts w:cstheme="minorHAnsi"/>
                <w:sz w:val="24"/>
                <w:szCs w:val="24"/>
              </w:rPr>
              <w:t>/</w:t>
            </w:r>
            <w:proofErr w:type="spellStart"/>
            <w:r w:rsidRPr="00FE4424">
              <w:rPr>
                <w:rFonts w:cstheme="minorHAnsi"/>
                <w:sz w:val="24"/>
                <w:szCs w:val="24"/>
              </w:rPr>
              <w:t>Vtach</w:t>
            </w:r>
            <w:proofErr w:type="spellEnd"/>
          </w:p>
          <w:p w:rsidR="00320BF8" w:rsidRPr="00FE4424" w:rsidRDefault="00320BF8" w:rsidP="00320BF8">
            <w:pPr>
              <w:spacing w:after="0" w:line="240" w:lineRule="auto"/>
              <w:rPr>
                <w:rFonts w:cstheme="minorHAnsi"/>
                <w:sz w:val="24"/>
                <w:szCs w:val="24"/>
              </w:rPr>
            </w:pPr>
            <w:r w:rsidRPr="00FE4424">
              <w:rPr>
                <w:rFonts w:cstheme="minorHAnsi"/>
                <w:sz w:val="24"/>
                <w:szCs w:val="24"/>
              </w:rPr>
              <w:t>• Tachykardia komorowa</w:t>
            </w:r>
          </w:p>
          <w:p w:rsidR="00320BF8" w:rsidRPr="00FE4424" w:rsidRDefault="00320BF8" w:rsidP="00320BF8">
            <w:pPr>
              <w:spacing w:after="0" w:line="240" w:lineRule="auto"/>
              <w:rPr>
                <w:rFonts w:cstheme="minorHAnsi"/>
                <w:sz w:val="24"/>
                <w:szCs w:val="24"/>
              </w:rPr>
            </w:pPr>
            <w:r w:rsidRPr="00FE4424">
              <w:rPr>
                <w:rFonts w:cstheme="minorHAnsi"/>
                <w:sz w:val="24"/>
                <w:szCs w:val="24"/>
              </w:rPr>
              <w:t>• Ciężka tachykardia</w:t>
            </w:r>
          </w:p>
          <w:p w:rsidR="00320BF8" w:rsidRPr="00FE4424" w:rsidRDefault="00320BF8" w:rsidP="00320BF8">
            <w:pPr>
              <w:spacing w:after="0" w:line="240" w:lineRule="auto"/>
              <w:rPr>
                <w:rFonts w:cstheme="minorHAnsi"/>
                <w:sz w:val="24"/>
                <w:szCs w:val="24"/>
              </w:rPr>
            </w:pPr>
            <w:r w:rsidRPr="00FE4424">
              <w:rPr>
                <w:rFonts w:cstheme="minorHAnsi"/>
                <w:sz w:val="24"/>
                <w:szCs w:val="24"/>
              </w:rPr>
              <w:t>• Ciężka bradykardia</w:t>
            </w:r>
          </w:p>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 Wysoka częstość skurczów </w:t>
            </w:r>
            <w:proofErr w:type="spellStart"/>
            <w:r w:rsidRPr="00FE4424">
              <w:rPr>
                <w:rFonts w:cstheme="minorHAnsi"/>
                <w:sz w:val="24"/>
                <w:szCs w:val="24"/>
              </w:rPr>
              <w:t>ektopowych</w:t>
            </w:r>
            <w:proofErr w:type="spellEnd"/>
            <w:r w:rsidRPr="00FE4424">
              <w:rPr>
                <w:rFonts w:cstheme="minorHAnsi"/>
                <w:sz w:val="24"/>
                <w:szCs w:val="24"/>
              </w:rPr>
              <w:t xml:space="preserve"> </w:t>
            </w:r>
          </w:p>
          <w:p w:rsidR="00320BF8" w:rsidRPr="00FE4424" w:rsidRDefault="00320BF8" w:rsidP="00320BF8">
            <w:pPr>
              <w:spacing w:after="0" w:line="240" w:lineRule="auto"/>
              <w:rPr>
                <w:rFonts w:cstheme="minorHAnsi"/>
                <w:sz w:val="24"/>
                <w:szCs w:val="24"/>
              </w:rPr>
            </w:pPr>
            <w:r w:rsidRPr="00FE4424">
              <w:rPr>
                <w:rFonts w:cstheme="minorHAnsi"/>
                <w:sz w:val="24"/>
                <w:szCs w:val="24"/>
              </w:rPr>
              <w:t>• HR wysokie</w:t>
            </w:r>
          </w:p>
          <w:p w:rsidR="00320BF8" w:rsidRPr="00FE4424" w:rsidRDefault="00320BF8" w:rsidP="00320BF8">
            <w:pPr>
              <w:spacing w:after="0" w:line="240" w:lineRule="auto"/>
              <w:rPr>
                <w:rFonts w:cstheme="minorHAnsi"/>
                <w:sz w:val="24"/>
                <w:szCs w:val="24"/>
              </w:rPr>
            </w:pPr>
            <w:r w:rsidRPr="00FE4424">
              <w:rPr>
                <w:rFonts w:cstheme="minorHAnsi"/>
                <w:sz w:val="24"/>
                <w:szCs w:val="24"/>
              </w:rPr>
              <w:t>• HR niskie</w:t>
            </w:r>
          </w:p>
          <w:p w:rsidR="00320BF8" w:rsidRPr="00FE4424" w:rsidRDefault="00320BF8" w:rsidP="00320BF8">
            <w:pPr>
              <w:spacing w:after="0" w:line="240" w:lineRule="auto"/>
              <w:rPr>
                <w:rFonts w:cstheme="minorHAnsi"/>
                <w:sz w:val="24"/>
                <w:szCs w:val="24"/>
              </w:rPr>
            </w:pPr>
            <w:r w:rsidRPr="00FE4424">
              <w:rPr>
                <w:rFonts w:cstheme="minorHAnsi"/>
                <w:sz w:val="24"/>
                <w:szCs w:val="24"/>
              </w:rPr>
              <w:t>• Migotanie przedsionków (początek i koniec).</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Możliwość wyłączenia alarmów poszczególnych arytmii (w tym migotania przedsionków). </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bookmarkStart w:id="9" w:name="OLE_LINK33"/>
            <w:bookmarkStart w:id="10" w:name="OLE_LINK32"/>
            <w:r w:rsidRPr="00FE4424">
              <w:rPr>
                <w:rFonts w:cstheme="minorHAnsi"/>
                <w:color w:val="000000"/>
                <w:sz w:val="24"/>
                <w:szCs w:val="24"/>
              </w:rPr>
              <w:t>TAK</w:t>
            </w:r>
            <w:bookmarkEnd w:id="9"/>
            <w:bookmarkEnd w:id="10"/>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Możliwość modyfikacji kryteriów alarmowania dla poszczególnych arytmii. </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Trendy graficzne i numeryczne z minimum 7 ostatnich dni wszystkich mierzonych przez monitory parametrów.</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 podać</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Funkcja analizy najczęściej występujących alarmów u danego pacjenta z prezentacją wartości progowych i trendów podstawowych parametrów życiowych. </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Oprogramowanie w języku polskim.</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bottom"/>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Funkcjonalność autoryzowanego dostępu w trybie odczytu do danych monitorowanych przez centralę możliwy z dowolnego komputera z poziomu przeglądarki internetowej. Dostęp zabezpieczony hasłem dostępu. Wykonawca powinien uwzględnić odpowiednią ilość licencji dla kardiomonitorów  i central obecnie kupowanych oraz jeżeli będzie taka potrzeba licencje dla kardiomonitorów i central posiadanych przez Zamawiającego w Klinikach Kardiochirurgii, Kardiologii oraz Noworodków. </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bottom"/>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rPr>
                <w:rFonts w:cstheme="minorHAnsi"/>
                <w:sz w:val="24"/>
                <w:szCs w:val="24"/>
              </w:rPr>
            </w:pPr>
            <w:r w:rsidRPr="00FE4424">
              <w:rPr>
                <w:rFonts w:cstheme="minorHAnsi"/>
                <w:sz w:val="24"/>
                <w:szCs w:val="24"/>
              </w:rPr>
              <w:t xml:space="preserve">System gotowy do przesyłania i odbierania danych w standardzie HL7. </w:t>
            </w:r>
          </w:p>
        </w:tc>
        <w:tc>
          <w:tcPr>
            <w:tcW w:w="1489" w:type="dxa"/>
            <w:tcBorders>
              <w:top w:val="single" w:sz="4" w:space="0" w:color="000000"/>
              <w:left w:val="single" w:sz="4" w:space="0" w:color="000000"/>
              <w:bottom w:val="single" w:sz="4" w:space="0" w:color="000000"/>
              <w:right w:val="single" w:sz="4" w:space="0" w:color="000000"/>
            </w:tcBorders>
            <w:shd w:val="clear" w:color="000000" w:fill="FFFFFF"/>
            <w:tcMar>
              <w:left w:w="60" w:type="dxa"/>
            </w:tcMar>
            <w:vAlign w:val="center"/>
          </w:tcPr>
          <w:p w:rsidR="00320BF8" w:rsidRPr="00FE4424" w:rsidRDefault="00320BF8" w:rsidP="00320BF8">
            <w:pPr>
              <w:spacing w:after="0" w:line="240" w:lineRule="auto"/>
              <w:jc w:val="center"/>
              <w:rPr>
                <w:rFonts w:cstheme="minorHAnsi"/>
                <w:color w:val="000000"/>
                <w:sz w:val="24"/>
                <w:szCs w:val="24"/>
              </w:rPr>
            </w:pPr>
            <w:r w:rsidRPr="00FE4424">
              <w:rPr>
                <w:rFonts w:cstheme="minorHAnsi"/>
                <w:color w:val="000000"/>
                <w:sz w:val="24"/>
                <w:szCs w:val="24"/>
              </w:rPr>
              <w:t>TAK</w:t>
            </w:r>
          </w:p>
        </w:tc>
        <w:tc>
          <w:tcPr>
            <w:tcW w:w="1346"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spacing w:after="0" w:line="240" w:lineRule="auto"/>
              <w:rPr>
                <w:rFonts w:cstheme="minorHAnsi"/>
                <w:sz w:val="24"/>
                <w:szCs w:val="2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320BF8" w:rsidRPr="00FE4424" w:rsidRDefault="00320BF8" w:rsidP="00320BF8">
            <w:pPr>
              <w:spacing w:after="0" w:line="240" w:lineRule="auto"/>
              <w:jc w:val="center"/>
              <w:rPr>
                <w:rFonts w:cstheme="minorHAnsi"/>
                <w:sz w:val="24"/>
                <w:szCs w:val="24"/>
              </w:rPr>
            </w:pPr>
          </w:p>
        </w:tc>
        <w:tc>
          <w:tcPr>
            <w:tcW w:w="1821" w:type="dxa"/>
            <w:tcBorders>
              <w:top w:val="single" w:sz="4" w:space="0" w:color="000000"/>
              <w:left w:val="single" w:sz="4" w:space="0" w:color="000000"/>
              <w:bottom w:val="single" w:sz="4" w:space="0" w:color="000000"/>
              <w:right w:val="single" w:sz="4" w:space="0" w:color="000000"/>
            </w:tcBorders>
            <w:tcMar>
              <w:left w:w="60" w:type="dxa"/>
            </w:tcMar>
            <w:vAlign w:val="center"/>
          </w:tcPr>
          <w:p w:rsidR="00320BF8" w:rsidRPr="00FE4424" w:rsidRDefault="00320BF8" w:rsidP="00320BF8">
            <w:pPr>
              <w:widowControl w:val="0"/>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W dniu instalacji szkolenie personelu z obsługi dostarczonych urządzeń</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W okresie do 6 miesięcy od daty instalacji szkolenie serwisowe dla 2 osób z dostarczonych urządzeń potwierdzone imiennymi certyfikatami do wykonywania napraw i przeglądów technicznych. Ważność szkolenia – bezterminowo. Udostępnienie elektronicznej instrukcji serwisowej. Udostępnienie kodów serwisowych  - jeżeli są używane i konieczne do obsługi serwisowej.</w:t>
            </w:r>
          </w:p>
        </w:tc>
        <w:tc>
          <w:tcPr>
            <w:tcW w:w="1489" w:type="dxa"/>
            <w:tcMar>
              <w:left w:w="60" w:type="dxa"/>
            </w:tcMar>
          </w:tcPr>
          <w:p w:rsidR="00320BF8" w:rsidRPr="00FE4424" w:rsidRDefault="00320BF8" w:rsidP="00320BF8">
            <w:pPr>
              <w:jc w:val="center"/>
              <w:rPr>
                <w:rFonts w:cstheme="minorHAnsi"/>
                <w:color w:val="000000"/>
                <w:sz w:val="24"/>
                <w:szCs w:val="24"/>
              </w:rPr>
            </w:pPr>
            <w:r w:rsidRPr="00FE4424">
              <w:rPr>
                <w:rFonts w:cstheme="minorHAnsi"/>
                <w:color w:val="000000"/>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 xml:space="preserve">Dostarczenie aktualnego, dedykowanego oprogramowania serwisowego do wykonywania kalibracji, </w:t>
            </w:r>
            <w:proofErr w:type="spellStart"/>
            <w:r w:rsidRPr="00FE4424">
              <w:rPr>
                <w:rFonts w:cstheme="minorHAnsi"/>
                <w:sz w:val="24"/>
                <w:szCs w:val="24"/>
              </w:rPr>
              <w:t>upgradów</w:t>
            </w:r>
            <w:proofErr w:type="spellEnd"/>
            <w:r w:rsidRPr="00FE4424">
              <w:rPr>
                <w:rFonts w:cstheme="minorHAnsi"/>
                <w:sz w:val="24"/>
                <w:szCs w:val="24"/>
              </w:rPr>
              <w:t xml:space="preserve"> kardiomonitorów i central. Oprogramowanie zainstalowane na dostarczonym przenośnym urządzeniu.</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color w:val="000000"/>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Instrukcja obsługi, instrukcja czyszczenia/dezynfekcji w języku polskim oraz dokumenty: deklaracja zgodności, CE  w wersji zarówno papierowej jak i elektronicznej np. na płycie CD (format PDF) dostarczana na etapie instalacji urządzenia</w:t>
            </w:r>
            <w:r w:rsidRPr="00FE4424">
              <w:rPr>
                <w:rFonts w:cstheme="minorHAnsi"/>
                <w:sz w:val="24"/>
                <w:szCs w:val="24"/>
              </w:rPr>
              <w:tab/>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color w:val="000000"/>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 okresie gwarancyjnym przeglądy techniczne urządzenia w liczbie,  zakresie i terminie wynikającym z daty uruchomienia zalecanym przez producenta dokonywane w siedzibie Zamawiającego w cenie oferty. Elementy zużywalne wykorzystane do przeglądu technicznego w cenie oferty. Przeglądy powinny być wykonywane z inicjatywy Wykonawcy, ale z uwzględnieniem ustaleń z Zamawiającym.  Obowiązkowy przegląd w ostatnim miesiącu gwarancji. Przesunięcie któregoś z przeglądu z winy Wykonawcy wydłuża okres gwarancji o okres przesunięcia.  W przypadku braku konieczności wykonywania przeglądów technicznych przez Producenta Wykonawca wskaże stosowny zapis w dokumentach producenta urządzenia.</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color w:val="000000"/>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Liczba przeglądów gwarancyjnych łącznie z przeglądem w ostatnim miesiącu gwarancji</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 podać ilość przeglądów</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Wykaz upoważnionych serwisów urządzenia na teranie Polski zawierający nazwę firmy, adres, telefon, fax. Nazwisko i imię osoby do kontaktu/serwisu (wskazać w materiałach , instrukcji obsługi kto jest upoważniony do wykonywania napraw serwisowych)</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color w:val="000000"/>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2578B4" w:rsidRPr="00FE4424" w:rsidTr="00320BF8">
        <w:trPr>
          <w:cantSplit/>
          <w:trHeight w:val="112"/>
          <w:jc w:val="center"/>
        </w:trPr>
        <w:tc>
          <w:tcPr>
            <w:tcW w:w="721" w:type="dxa"/>
            <w:shd w:val="clear" w:color="auto" w:fill="auto"/>
            <w:tcMar>
              <w:left w:w="60" w:type="dxa"/>
            </w:tcMar>
          </w:tcPr>
          <w:p w:rsidR="002578B4" w:rsidRPr="00FE4424" w:rsidRDefault="002578B4" w:rsidP="002578B4">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2578B4" w:rsidRPr="00FE4424" w:rsidRDefault="002578B4" w:rsidP="002578B4">
            <w:pPr>
              <w:spacing w:after="0" w:line="240" w:lineRule="auto"/>
              <w:rPr>
                <w:rFonts w:eastAsiaTheme="minorEastAsia" w:cstheme="minorHAnsi"/>
                <w:sz w:val="24"/>
                <w:szCs w:val="24"/>
              </w:rPr>
            </w:pPr>
            <w:r w:rsidRPr="00FE4424">
              <w:rPr>
                <w:rFonts w:eastAsiaTheme="minorEastAsia" w:cstheme="minorHAnsi"/>
                <w:sz w:val="24"/>
                <w:szCs w:val="24"/>
              </w:rPr>
              <w:t xml:space="preserve">Zapewnienie dostępu do części do napraw, serwisu pogwarancyjnego min. 10 lat od daty  odbioru przedmiotu zamówienia . </w:t>
            </w:r>
          </w:p>
          <w:p w:rsidR="002578B4" w:rsidRPr="00FE4424" w:rsidRDefault="002578B4" w:rsidP="002578B4">
            <w:pPr>
              <w:spacing w:after="0" w:line="240" w:lineRule="auto"/>
              <w:rPr>
                <w:rFonts w:eastAsiaTheme="minorEastAsia" w:cstheme="minorHAnsi"/>
                <w:sz w:val="24"/>
                <w:szCs w:val="24"/>
              </w:rPr>
            </w:pPr>
          </w:p>
        </w:tc>
        <w:tc>
          <w:tcPr>
            <w:tcW w:w="1489" w:type="dxa"/>
            <w:tcMar>
              <w:left w:w="60" w:type="dxa"/>
            </w:tcMar>
          </w:tcPr>
          <w:p w:rsidR="002578B4" w:rsidRPr="00FE4424" w:rsidRDefault="002578B4" w:rsidP="002578B4">
            <w:pPr>
              <w:jc w:val="center"/>
              <w:rPr>
                <w:rFonts w:cstheme="minorHAnsi"/>
                <w:sz w:val="24"/>
                <w:szCs w:val="24"/>
              </w:rPr>
            </w:pPr>
            <w:r w:rsidRPr="00FE4424">
              <w:rPr>
                <w:rFonts w:cstheme="minorHAnsi"/>
                <w:color w:val="000000"/>
                <w:sz w:val="24"/>
                <w:szCs w:val="24"/>
              </w:rPr>
              <w:t>TAK</w:t>
            </w:r>
          </w:p>
        </w:tc>
        <w:tc>
          <w:tcPr>
            <w:tcW w:w="1346" w:type="dxa"/>
            <w:shd w:val="clear" w:color="auto" w:fill="auto"/>
            <w:tcMar>
              <w:left w:w="60" w:type="dxa"/>
            </w:tcMar>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c>
          <w:tcPr>
            <w:tcW w:w="1373" w:type="dxa"/>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Gwarancja min. 36 miesięcy</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color w:val="000000"/>
                <w:sz w:val="24"/>
                <w:szCs w:val="24"/>
              </w:rPr>
              <w:t>TAK</w:t>
            </w:r>
          </w:p>
        </w:tc>
        <w:tc>
          <w:tcPr>
            <w:tcW w:w="1346" w:type="dxa"/>
            <w:shd w:val="clear" w:color="auto" w:fill="auto"/>
            <w:tcMar>
              <w:left w:w="60" w:type="dxa"/>
            </w:tcMar>
          </w:tcPr>
          <w:p w:rsidR="00320BF8" w:rsidRPr="00FE4424" w:rsidRDefault="00320BF8" w:rsidP="00320BF8">
            <w:pPr>
              <w:spacing w:after="0" w:line="240" w:lineRule="auto"/>
              <w:jc w:val="center"/>
              <w:rPr>
                <w:rFonts w:eastAsiaTheme="minorEastAsia" w:cstheme="minorHAnsi"/>
                <w:sz w:val="24"/>
                <w:szCs w:val="24"/>
              </w:rPr>
            </w:pPr>
          </w:p>
        </w:tc>
        <w:tc>
          <w:tcPr>
            <w:tcW w:w="1373" w:type="dxa"/>
          </w:tcPr>
          <w:p w:rsidR="00320BF8" w:rsidRPr="00FE4424" w:rsidRDefault="00320BF8" w:rsidP="00320BF8">
            <w:pPr>
              <w:spacing w:after="0" w:line="240" w:lineRule="auto"/>
              <w:jc w:val="center"/>
              <w:rPr>
                <w:rFonts w:eastAsiaTheme="minorEastAsia" w:cstheme="minorHAnsi"/>
                <w:sz w:val="24"/>
                <w:szCs w:val="24"/>
              </w:rPr>
            </w:pPr>
          </w:p>
        </w:tc>
        <w:tc>
          <w:tcPr>
            <w:tcW w:w="1821"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36 miesięcy-0 pkt.</w:t>
            </w:r>
          </w:p>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48 miesięcy–10pkt</w:t>
            </w:r>
          </w:p>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60 miesięcy–20pkt</w:t>
            </w:r>
          </w:p>
        </w:tc>
      </w:tr>
    </w:tbl>
    <w:p w:rsidR="00320BF8" w:rsidRPr="00FE4424" w:rsidRDefault="00320BF8" w:rsidP="00320BF8">
      <w:pPr>
        <w:rPr>
          <w:rFonts w:cstheme="minorHAnsi"/>
          <w:sz w:val="24"/>
          <w:szCs w:val="24"/>
        </w:rPr>
      </w:pPr>
    </w:p>
    <w:p w:rsidR="00320BF8" w:rsidRPr="00FE4424" w:rsidRDefault="00320BF8" w:rsidP="00320BF8">
      <w:pPr>
        <w:rPr>
          <w:rFonts w:cstheme="minorHAnsi"/>
          <w:sz w:val="24"/>
          <w:szCs w:val="24"/>
        </w:rPr>
      </w:pPr>
    </w:p>
    <w:p w:rsidR="00320BF8" w:rsidRPr="00FE4424" w:rsidRDefault="00320BF8" w:rsidP="00320BF8">
      <w:pPr>
        <w:pStyle w:val="Nagwek1"/>
        <w:numPr>
          <w:ilvl w:val="0"/>
          <w:numId w:val="0"/>
        </w:numPr>
        <w:rPr>
          <w:rFonts w:asciiTheme="minorHAnsi" w:hAnsiTheme="minorHAnsi" w:cstheme="minorHAnsi"/>
          <w:sz w:val="24"/>
        </w:rPr>
      </w:pPr>
      <w:r w:rsidRPr="00FE4424">
        <w:rPr>
          <w:rFonts w:asciiTheme="minorHAnsi" w:hAnsiTheme="minorHAnsi" w:cstheme="minorHAnsi"/>
          <w:sz w:val="24"/>
        </w:rPr>
        <w:br w:type="page"/>
      </w:r>
      <w:bookmarkStart w:id="11" w:name="_Toc221092120"/>
      <w:bookmarkStart w:id="12" w:name="_Toc225839456"/>
      <w:r w:rsidR="002C5F1E" w:rsidRPr="00FE4424">
        <w:rPr>
          <w:rFonts w:asciiTheme="minorHAnsi" w:hAnsiTheme="minorHAnsi" w:cstheme="minorHAnsi"/>
          <w:noProof/>
          <w:sz w:val="24"/>
        </w:rPr>
        <w:lastRenderedPageBreak/>
        <w:t>Pakiet 5</w:t>
      </w:r>
      <w:r w:rsidRPr="00FE4424">
        <w:rPr>
          <w:rFonts w:asciiTheme="minorHAnsi" w:hAnsiTheme="minorHAnsi" w:cstheme="minorHAnsi"/>
          <w:noProof/>
          <w:sz w:val="24"/>
        </w:rPr>
        <w:t>.  Urządzenia telemetryczne z centralą monitorującą (Urządzenia telemetryczne z oprogramowaniem, akcesoriami i montażem ) -szt. 1</w:t>
      </w:r>
      <w:bookmarkEnd w:id="11"/>
      <w:bookmarkEnd w:id="12"/>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Pełna nazwa urządzenia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Producent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Kraj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Rok produkcji: 2025/2026</w:t>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p>
    <w:tbl>
      <w:tblPr>
        <w:tblW w:w="11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5" w:type="dxa"/>
        </w:tblCellMar>
        <w:tblLook w:val="0000" w:firstRow="0" w:lastRow="0" w:firstColumn="0" w:lastColumn="0" w:noHBand="0" w:noVBand="0"/>
      </w:tblPr>
      <w:tblGrid>
        <w:gridCol w:w="721"/>
        <w:gridCol w:w="4382"/>
        <w:gridCol w:w="1489"/>
        <w:gridCol w:w="1346"/>
        <w:gridCol w:w="1373"/>
        <w:gridCol w:w="1821"/>
      </w:tblGrid>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widowControl w:val="0"/>
              <w:suppressAutoHyphens/>
              <w:spacing w:after="0" w:line="240" w:lineRule="auto"/>
              <w:ind w:left="-49"/>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ind w:left="-49"/>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L.p.</w:t>
            </w:r>
          </w:p>
        </w:tc>
        <w:tc>
          <w:tcPr>
            <w:tcW w:w="4382"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Nazwa i opis parametru lub funkcji urządzenia</w:t>
            </w:r>
          </w:p>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p>
        </w:tc>
        <w:tc>
          <w:tcPr>
            <w:tcW w:w="1489"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wymagany</w:t>
            </w:r>
          </w:p>
        </w:tc>
        <w:tc>
          <w:tcPr>
            <w:tcW w:w="1346"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oferowany</w:t>
            </w:r>
          </w:p>
        </w:tc>
        <w:tc>
          <w:tcPr>
            <w:tcW w:w="1373" w:type="dxa"/>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 xml:space="preserve">Nr strony w mat. </w:t>
            </w:r>
            <w:proofErr w:type="spellStart"/>
            <w:r w:rsidRPr="00FE4424">
              <w:rPr>
                <w:rFonts w:eastAsia="Lucida Sans Unicode" w:cstheme="minorHAnsi"/>
                <w:b/>
                <w:sz w:val="24"/>
                <w:szCs w:val="24"/>
                <w:lang w:eastAsia="zh-CN" w:bidi="hi-IN"/>
              </w:rPr>
              <w:t>infor</w:t>
            </w:r>
            <w:proofErr w:type="spellEnd"/>
            <w:r w:rsidRPr="00FE4424">
              <w:rPr>
                <w:rFonts w:eastAsia="Lucida Sans Unicode" w:cstheme="minorHAnsi"/>
                <w:b/>
                <w:sz w:val="24"/>
                <w:szCs w:val="24"/>
                <w:lang w:eastAsia="zh-CN" w:bidi="hi-IN"/>
              </w:rPr>
              <w:t>. z potwierdzeniem parametru</w:t>
            </w:r>
          </w:p>
        </w:tc>
        <w:tc>
          <w:tcPr>
            <w:tcW w:w="1821"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Ocena</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 xml:space="preserve">Urządzenie fabrycznie nowe, </w:t>
            </w:r>
            <w:proofErr w:type="spellStart"/>
            <w:r w:rsidRPr="00FE4424">
              <w:rPr>
                <w:rFonts w:eastAsiaTheme="minorEastAsia" w:cstheme="minorHAnsi"/>
                <w:sz w:val="24"/>
                <w:szCs w:val="24"/>
              </w:rPr>
              <w:t>nierekondycjonowane</w:t>
            </w:r>
            <w:proofErr w:type="spellEnd"/>
          </w:p>
        </w:tc>
        <w:tc>
          <w:tcPr>
            <w:tcW w:w="1489" w:type="dxa"/>
            <w:shd w:val="clear" w:color="auto" w:fill="auto"/>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spacing w:line="240" w:lineRule="auto"/>
              <w:rPr>
                <w:rFonts w:cstheme="minorHAnsi"/>
                <w:sz w:val="24"/>
                <w:szCs w:val="24"/>
              </w:rPr>
            </w:pPr>
            <w:r w:rsidRPr="00FE4424">
              <w:rPr>
                <w:rFonts w:cstheme="minorHAnsi"/>
                <w:spacing w:val="-5"/>
                <w:sz w:val="24"/>
                <w:szCs w:val="24"/>
              </w:rPr>
              <w:t>Model / typ</w:t>
            </w:r>
          </w:p>
        </w:tc>
        <w:tc>
          <w:tcPr>
            <w:tcW w:w="1489"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TAK</w:t>
            </w:r>
          </w:p>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(podać)</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Oprogramowanie, menu i komunikaty ekranowe monitora w języku polskim. </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Konieczność połączenia zaoferowanego systemu telemetrycznego z serwerem PIC </w:t>
            </w:r>
            <w:proofErr w:type="spellStart"/>
            <w:r w:rsidRPr="00FE4424">
              <w:rPr>
                <w:rFonts w:eastAsia="Times New Roman" w:cstheme="minorHAnsi"/>
                <w:color w:val="000000"/>
                <w:sz w:val="24"/>
                <w:szCs w:val="24"/>
                <w:lang w:eastAsia="pl-PL"/>
              </w:rPr>
              <w:t>iX</w:t>
            </w:r>
            <w:proofErr w:type="spellEnd"/>
            <w:r w:rsidRPr="00FE4424">
              <w:rPr>
                <w:rFonts w:eastAsia="Times New Roman" w:cstheme="minorHAnsi"/>
                <w:color w:val="000000"/>
                <w:sz w:val="24"/>
                <w:szCs w:val="24"/>
                <w:lang w:eastAsia="pl-PL"/>
              </w:rPr>
              <w:t xml:space="preserve"> </w:t>
            </w:r>
            <w:proofErr w:type="spellStart"/>
            <w:r w:rsidRPr="00FE4424">
              <w:rPr>
                <w:rFonts w:eastAsia="Times New Roman" w:cstheme="minorHAnsi"/>
                <w:color w:val="000000"/>
                <w:sz w:val="24"/>
                <w:szCs w:val="24"/>
                <w:lang w:eastAsia="pl-PL"/>
              </w:rPr>
              <w:t>prod</w:t>
            </w:r>
            <w:proofErr w:type="spellEnd"/>
            <w:r w:rsidRPr="00FE4424">
              <w:rPr>
                <w:rFonts w:eastAsia="Times New Roman" w:cstheme="minorHAnsi"/>
                <w:color w:val="000000"/>
                <w:sz w:val="24"/>
                <w:szCs w:val="24"/>
                <w:lang w:eastAsia="pl-PL"/>
              </w:rPr>
              <w:t xml:space="preserve"> Philips umożliwiającym gromadzenie i przesyłanie danych pomiędzy Oddziałem Rehabilitacji Kardiologicznej oraz innymi komórkami szpitala wpiętymi w system. W przypadku konieczności </w:t>
            </w:r>
            <w:proofErr w:type="spellStart"/>
            <w:r w:rsidRPr="00FE4424">
              <w:rPr>
                <w:rFonts w:eastAsia="Times New Roman" w:cstheme="minorHAnsi"/>
                <w:color w:val="000000"/>
                <w:sz w:val="24"/>
                <w:szCs w:val="24"/>
                <w:lang w:eastAsia="pl-PL"/>
              </w:rPr>
              <w:t>upgradu</w:t>
            </w:r>
            <w:proofErr w:type="spellEnd"/>
            <w:r w:rsidRPr="00FE4424">
              <w:rPr>
                <w:rFonts w:eastAsia="Times New Roman" w:cstheme="minorHAnsi"/>
                <w:color w:val="000000"/>
                <w:sz w:val="24"/>
                <w:szCs w:val="24"/>
                <w:lang w:eastAsia="pl-PL"/>
              </w:rPr>
              <w:t xml:space="preserve"> sytemu Wykonawca wykona to w ramach umowy.</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10 x Nadajnik cyfrowy EKG pracujący w czasie rzeczywistym. Antena nadawcza ukryta wewnątrz nadajnika lub rolę anteny nadawczej pełni ekranowanie przewodu EKG. Wodoodporność min. IPX7 i odporność na wstrząsy i upadki z wysokości min. 1,2m. </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 podać</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Niezależny tryb monitorowania – nawet poza zasięgiem anten oraz automatyczne łączenie się z siecią po powrocie w zasięg anten. Kontrola podłączenia elektrod wyświetlana na ekranie.</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Alternatywne zasilanie nadajnika bateriami powszechnego użytku i akumulatorem. Możliwość wymiany baterii przez użytkownika. Nadajnik wyposażony we wskaźnik stanu baterii i stanu podłączenia elektrod. Czas ciągłej pracy nadajnika przy monitorowaniu EKG min. 24 godziny.</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Kolorowy ekran dotykowy o przekątnej min. 2,5”</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 podać</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Graniczna przekątna – 0 pkt. Powyżej – 10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Min. 5 formatów prezentacji danych na ekranie z prezentacja do 6 parametrów lub 2 krzywych. Wybór orientacji ekranu oraz automatyczny tryb uśpienia oszczędzający energię (monitoring pacjenta przy wygaszonym ekranie kolorowym). </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b/>
                <w:bCs/>
                <w:color w:val="000000"/>
                <w:sz w:val="24"/>
                <w:szCs w:val="24"/>
                <w:lang w:eastAsia="pl-PL"/>
              </w:rPr>
              <w:t>Pomiar EKG</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Wyświetlanie na ekranie centrali monitorującej minimum 2 krzywych EKG jednocześnie. Analiza odcinka ST, QT/</w:t>
            </w:r>
            <w:proofErr w:type="spellStart"/>
            <w:r w:rsidRPr="00FE4424">
              <w:rPr>
                <w:rFonts w:eastAsia="Times New Roman" w:cstheme="minorHAnsi"/>
                <w:color w:val="000000"/>
                <w:sz w:val="24"/>
                <w:szCs w:val="24"/>
                <w:lang w:eastAsia="pl-PL"/>
              </w:rPr>
              <w:t>QTc</w:t>
            </w:r>
            <w:proofErr w:type="spellEnd"/>
            <w:r w:rsidRPr="00FE4424">
              <w:rPr>
                <w:rFonts w:eastAsia="Times New Roman" w:cstheme="minorHAnsi"/>
                <w:color w:val="000000"/>
                <w:sz w:val="24"/>
                <w:szCs w:val="24"/>
                <w:lang w:eastAsia="pl-PL"/>
              </w:rPr>
              <w:t xml:space="preserve"> z prezentacją graficzną zmian ST na wykresach kołowych dostępna w centrali monitorującej. </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Możliwość monitorowania 3-, 5- i 6- odprowadzeniowego EKG oraz 12 odprowadzeniowego EKG z przewodów 5- i 6- żyłowych. </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proofErr w:type="spellStart"/>
            <w:r w:rsidRPr="00FE4424">
              <w:rPr>
                <w:rFonts w:eastAsia="Times New Roman" w:cstheme="minorHAnsi"/>
                <w:color w:val="000000"/>
                <w:sz w:val="24"/>
                <w:szCs w:val="24"/>
                <w:lang w:eastAsia="pl-PL"/>
              </w:rPr>
              <w:t>Wieloodprowadzeniowe</w:t>
            </w:r>
            <w:proofErr w:type="spellEnd"/>
            <w:r w:rsidRPr="00FE4424">
              <w:rPr>
                <w:rFonts w:eastAsia="Times New Roman" w:cstheme="minorHAnsi"/>
                <w:color w:val="000000"/>
                <w:sz w:val="24"/>
                <w:szCs w:val="24"/>
                <w:lang w:eastAsia="pl-PL"/>
              </w:rPr>
              <w:t xml:space="preserve"> monitorowanie odcinka ST/arytmii. </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b/>
                <w:bCs/>
                <w:color w:val="000000"/>
                <w:sz w:val="24"/>
                <w:szCs w:val="24"/>
                <w:lang w:eastAsia="pl-PL"/>
              </w:rPr>
              <w:t>Akcesoria startowe dla wszystkich nadajników:</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- 2x opakowanie ochronne dla nadajnika do noszenia na szyi przez pacjenta (min. 200 szt. w opakowaniu)</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- 2x ładowarka umożliwiająca ładowanie min. 9 akumulatorów jednocześnie</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- 10x akumulatory wielokrotnego ładowania</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- 10x zestaw kabli 3 lub 5 lub 6-odprowadzeniowych</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 podać</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bCs/>
                <w:color w:val="000000"/>
                <w:sz w:val="24"/>
                <w:szCs w:val="24"/>
                <w:lang w:eastAsia="pl-PL"/>
              </w:rPr>
            </w:pPr>
            <w:r w:rsidRPr="00FE4424">
              <w:rPr>
                <w:rFonts w:eastAsia="Times New Roman" w:cstheme="minorHAnsi"/>
                <w:bCs/>
                <w:color w:val="000000"/>
                <w:sz w:val="24"/>
                <w:szCs w:val="24"/>
                <w:lang w:eastAsia="pl-PL"/>
              </w:rPr>
              <w:t>W ramach realizacji przedmiotu dostawy Oferent zobowiązany jest dostarczyć oraz zamontować komponenty sieciowe niezbędne do pracy całego systemu telemetrycznego zapewniające odpowiedni poziom sygnału na całym oddziale.</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bCs/>
                <w:color w:val="000000"/>
                <w:sz w:val="24"/>
                <w:szCs w:val="24"/>
                <w:lang w:eastAsia="pl-PL"/>
              </w:rPr>
            </w:pPr>
            <w:r w:rsidRPr="00FE4424">
              <w:rPr>
                <w:rFonts w:eastAsia="Times New Roman" w:cstheme="minorHAnsi"/>
                <w:bCs/>
                <w:color w:val="000000"/>
                <w:sz w:val="24"/>
                <w:szCs w:val="24"/>
                <w:lang w:eastAsia="pl-PL"/>
              </w:rPr>
              <w:t xml:space="preserve">Możliwość wyświetlania na stacjonarnych kardiomonitorach </w:t>
            </w:r>
            <w:proofErr w:type="spellStart"/>
            <w:r w:rsidRPr="00FE4424">
              <w:rPr>
                <w:rFonts w:eastAsia="Times New Roman" w:cstheme="minorHAnsi"/>
                <w:bCs/>
                <w:color w:val="000000"/>
                <w:sz w:val="24"/>
                <w:szCs w:val="24"/>
                <w:lang w:eastAsia="pl-PL"/>
              </w:rPr>
              <w:t>BeneView</w:t>
            </w:r>
            <w:proofErr w:type="spellEnd"/>
            <w:r w:rsidRPr="00FE4424">
              <w:rPr>
                <w:rFonts w:eastAsia="Times New Roman" w:cstheme="minorHAnsi"/>
                <w:bCs/>
                <w:color w:val="000000"/>
                <w:sz w:val="24"/>
                <w:szCs w:val="24"/>
                <w:lang w:eastAsia="pl-PL"/>
              </w:rPr>
              <w:t xml:space="preserve"> T5 posiadanych przez Odział Rehabilitacji Kardiologicznej sygnały z nadajników. W przypadku braku możliwości wyświetlania sygnałów na posiadanych monitorach Oferent dostarczy urządzenia kompatybilne w tym zakresie – 6 urządzeń o przekątnej min 15 cali. W przypadku nowych urządzeń powinny również połączyć się z zakupywaną poniżej stacją centralnego monitorowania oraz serwerem PIC </w:t>
            </w:r>
            <w:proofErr w:type="spellStart"/>
            <w:r w:rsidRPr="00FE4424">
              <w:rPr>
                <w:rFonts w:eastAsia="Times New Roman" w:cstheme="minorHAnsi"/>
                <w:bCs/>
                <w:color w:val="000000"/>
                <w:sz w:val="24"/>
                <w:szCs w:val="24"/>
                <w:lang w:eastAsia="pl-PL"/>
              </w:rPr>
              <w:t>iX</w:t>
            </w:r>
            <w:proofErr w:type="spellEnd"/>
            <w:r w:rsidRPr="00FE4424">
              <w:rPr>
                <w:rFonts w:eastAsia="Times New Roman" w:cstheme="minorHAnsi"/>
                <w:bCs/>
                <w:color w:val="000000"/>
                <w:sz w:val="24"/>
                <w:szCs w:val="24"/>
                <w:lang w:eastAsia="pl-PL"/>
              </w:rPr>
              <w:t xml:space="preserve"> </w:t>
            </w:r>
            <w:proofErr w:type="spellStart"/>
            <w:r w:rsidRPr="00FE4424">
              <w:rPr>
                <w:rFonts w:eastAsia="Times New Roman" w:cstheme="minorHAnsi"/>
                <w:bCs/>
                <w:color w:val="000000"/>
                <w:sz w:val="24"/>
                <w:szCs w:val="24"/>
                <w:lang w:eastAsia="pl-PL"/>
              </w:rPr>
              <w:t>prod</w:t>
            </w:r>
            <w:proofErr w:type="spellEnd"/>
            <w:r w:rsidRPr="00FE4424">
              <w:rPr>
                <w:rFonts w:eastAsia="Times New Roman" w:cstheme="minorHAnsi"/>
                <w:bCs/>
                <w:color w:val="000000"/>
                <w:sz w:val="24"/>
                <w:szCs w:val="24"/>
                <w:lang w:eastAsia="pl-PL"/>
              </w:rPr>
              <w:t xml:space="preserve"> Philips</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auto" w:fill="D9D9D9"/>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b/>
                <w:bCs/>
                <w:color w:val="000000"/>
                <w:sz w:val="24"/>
                <w:szCs w:val="24"/>
                <w:lang w:eastAsia="pl-PL"/>
              </w:rPr>
              <w:t>Stacja centralnego monitorowania – 1 szt.</w:t>
            </w:r>
          </w:p>
        </w:tc>
        <w:tc>
          <w:tcPr>
            <w:tcW w:w="1489" w:type="dxa"/>
            <w:tcMar>
              <w:left w:w="60" w:type="dxa"/>
            </w:tcMar>
          </w:tcPr>
          <w:p w:rsidR="00320BF8" w:rsidRPr="00FE4424" w:rsidRDefault="00320BF8" w:rsidP="00320BF8">
            <w:pPr>
              <w:widowControl w:val="0"/>
              <w:snapToGrid w:val="0"/>
              <w:spacing w:after="0" w:line="240" w:lineRule="auto"/>
              <w:jc w:val="center"/>
              <w:rPr>
                <w:rFonts w:cstheme="minorHAnsi"/>
                <w:kern w:val="2"/>
                <w:sz w:val="24"/>
                <w:szCs w:val="24"/>
                <w14:ligatures w14:val="standardContextual"/>
              </w:rPr>
            </w:pP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 xml:space="preserve">Urządzenie fabrycznie nowe, </w:t>
            </w:r>
            <w:proofErr w:type="spellStart"/>
            <w:r w:rsidRPr="00FE4424">
              <w:rPr>
                <w:rFonts w:eastAsiaTheme="minorEastAsia" w:cstheme="minorHAnsi"/>
                <w:sz w:val="24"/>
                <w:szCs w:val="24"/>
              </w:rPr>
              <w:t>nierekondycjonowane</w:t>
            </w:r>
            <w:proofErr w:type="spellEnd"/>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line="240" w:lineRule="auto"/>
              <w:rPr>
                <w:rFonts w:cstheme="minorHAnsi"/>
                <w:sz w:val="24"/>
                <w:szCs w:val="24"/>
              </w:rPr>
            </w:pPr>
            <w:r w:rsidRPr="00FE4424">
              <w:rPr>
                <w:rFonts w:cstheme="minorHAnsi"/>
                <w:spacing w:val="-5"/>
                <w:sz w:val="24"/>
                <w:szCs w:val="24"/>
              </w:rPr>
              <w:t>Model / typ</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TAK</w:t>
            </w:r>
          </w:p>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(podać)</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System operacyjny centrali nie starszy niż Windows 10 lub Mac OS X 10.8 lub inny posiadający aktualne wsparcie techniczne producenta. Funkcja automatycznego tworzenia kopii zapasowej danych umożliwiająca szybkie przywrócenie działania systemu w razie awarii.</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System przygotowany sprzętowo i programowo do rozbudowy o kolejne urządzenia monitorujące (do min. 32). </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 podać</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Prezentacja danych pacjentów monitorowanych na kolorowym ekranie typu LCD TFT o przekątnej co najmniej 23” i rozdzielczości Full HD.</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 2 ekrany</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Możliwość podglądu systemu w gabinecie lekarskim z możliwością ingerencji w parametry pracy/ustawienia. Dodatkowo wykonanie w 2 wskazanych lokalizacjach przez Zamawiającego podglądu z centrali w formie podglądu pasywnego lub jako podgląd poprzez dedykowaną aplikację lub przeglądarkę. </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Podgląd, monitorowanie i zapis danych wszystkich parametrów i przebiegów falowych z kardiomonitorów - wyświetlanie wszystkich krzywych dynamicznych i wartości numerycznych.</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Możliwość elastycznego konfigurowania układu ekranu z poziomu użytkownika (bez udziału serwisu), w tym:</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zmiana wielkości okna (sektora) dla każdego pacjenta niezależnie</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zmiana formatu i rodzaju wyświetlanych parametrów liczbowych i krzywych dynamicznych (dla każdego pacjenta niezależnie).</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Automatyczna oraz ręczna (przez Użytkownika) minimalizacja sektorów dla nieaktywnych kardiomonitorów. Automatyczne przywrócenie zapisu po włączeniu kardiomonitora. </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Możliwość przypisania do jednego pacjenta dwóch urządzeń monitorujących tj. kardiomonitora i monitora telemetrycznego.</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Alarmy 3-stopniowe (wizualne i akustyczne) z poszczególnych łóżek, z identyfikacją alarmującego łóżka.</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Sterowanie funkcjami kardiomonitorów, w tym ustawieniami alarmów i pomiarów, uruchamianie nieinwazyjnego pomiaru ciśnienia.</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Wpisywanie danych demograficznych pacjenta w centrali i w kardiomonitorach.</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Funkcja "holterowska": zapis ciągły przebiegów dynamicznych (w tym zapis 12 </w:t>
            </w:r>
            <w:proofErr w:type="spellStart"/>
            <w:r w:rsidRPr="00FE4424">
              <w:rPr>
                <w:rFonts w:eastAsia="Times New Roman" w:cstheme="minorHAnsi"/>
                <w:color w:val="000000"/>
                <w:sz w:val="24"/>
                <w:szCs w:val="24"/>
                <w:lang w:eastAsia="pl-PL"/>
              </w:rPr>
              <w:t>odprowadzeń</w:t>
            </w:r>
            <w:proofErr w:type="spellEnd"/>
            <w:r w:rsidRPr="00FE4424">
              <w:rPr>
                <w:rFonts w:eastAsia="Times New Roman" w:cstheme="minorHAnsi"/>
                <w:color w:val="000000"/>
                <w:sz w:val="24"/>
                <w:szCs w:val="24"/>
                <w:lang w:eastAsia="pl-PL"/>
              </w:rPr>
              <w:t xml:space="preserve"> EKG) z min. 7 ostatnich dni, z możliwością wglądu w dowolny fragment tego zapisu.</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Pamięć stanów krytycznych (alarmów arytmii i innych zdarzeń, z zapisem odcinków monitorowanych krzywych dynamicznych i wartości liczbowych). Funkcja wykonywania pomiarów na zapamiętanych krzywych / min. pomiar RR, QT.</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Zapis alarmów i zdarzeń z okresu min. 30 dni. Możliwość przeszukiwania listy według pacjenta lub oddziału, według kategorii alarmu oraz według rodzaju wykonywanych przez personel czynności działań (np. wyłączenie alarmu). Zapis dostępny do wyświetlenia lub eksportu do pamięci USB lub do udostępnionego dysku sieciowego.</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Sygnalizacja alarmowa zdarzeń związanych z zaburzeniami rytmu, w tym co najmniej:</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 </w:t>
            </w:r>
            <w:proofErr w:type="spellStart"/>
            <w:r w:rsidRPr="00FE4424">
              <w:rPr>
                <w:rFonts w:eastAsia="Times New Roman" w:cstheme="minorHAnsi"/>
                <w:color w:val="000000"/>
                <w:sz w:val="24"/>
                <w:szCs w:val="24"/>
                <w:lang w:eastAsia="pl-PL"/>
              </w:rPr>
              <w:t>Asystolia</w:t>
            </w:r>
            <w:proofErr w:type="spellEnd"/>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 </w:t>
            </w:r>
            <w:proofErr w:type="spellStart"/>
            <w:r w:rsidRPr="00FE4424">
              <w:rPr>
                <w:rFonts w:eastAsia="Times New Roman" w:cstheme="minorHAnsi"/>
                <w:color w:val="000000"/>
                <w:sz w:val="24"/>
                <w:szCs w:val="24"/>
                <w:lang w:eastAsia="pl-PL"/>
              </w:rPr>
              <w:t>Vfib</w:t>
            </w:r>
            <w:proofErr w:type="spellEnd"/>
            <w:r w:rsidRPr="00FE4424">
              <w:rPr>
                <w:rFonts w:eastAsia="Times New Roman" w:cstheme="minorHAnsi"/>
                <w:color w:val="000000"/>
                <w:sz w:val="24"/>
                <w:szCs w:val="24"/>
                <w:lang w:eastAsia="pl-PL"/>
              </w:rPr>
              <w:t>/</w:t>
            </w:r>
            <w:proofErr w:type="spellStart"/>
            <w:r w:rsidRPr="00FE4424">
              <w:rPr>
                <w:rFonts w:eastAsia="Times New Roman" w:cstheme="minorHAnsi"/>
                <w:color w:val="000000"/>
                <w:sz w:val="24"/>
                <w:szCs w:val="24"/>
                <w:lang w:eastAsia="pl-PL"/>
              </w:rPr>
              <w:t>Vtach</w:t>
            </w:r>
            <w:proofErr w:type="spellEnd"/>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Tachykardia komorowa</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Ciężka tachykardia</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Ciężka bradykardia</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 Wysoka częstość skurczów </w:t>
            </w:r>
            <w:proofErr w:type="spellStart"/>
            <w:r w:rsidRPr="00FE4424">
              <w:rPr>
                <w:rFonts w:eastAsia="Times New Roman" w:cstheme="minorHAnsi"/>
                <w:color w:val="000000"/>
                <w:sz w:val="24"/>
                <w:szCs w:val="24"/>
                <w:lang w:eastAsia="pl-PL"/>
              </w:rPr>
              <w:t>ektopowych</w:t>
            </w:r>
            <w:proofErr w:type="spellEnd"/>
            <w:r w:rsidRPr="00FE4424">
              <w:rPr>
                <w:rFonts w:eastAsia="Times New Roman" w:cstheme="minorHAnsi"/>
                <w:color w:val="000000"/>
                <w:sz w:val="24"/>
                <w:szCs w:val="24"/>
                <w:lang w:eastAsia="pl-PL"/>
              </w:rPr>
              <w:t xml:space="preserve"> </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HR wysokie</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HR niskie</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Migotanie przedsionków (początek i koniec).</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 podać</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Możliwość wyłączenia alarmów poszczególnych arytmii (w tym migotania przedsionków). </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Możliwość modyfikacji kryteriów alarmowania dla poszczególnych arytmii. </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TAK/NIE</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Tak – 10 pkt</w:t>
            </w:r>
          </w:p>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Nie – 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Trendy graficzne i numeryczne z minimum 150h ostatnich godzin wszystkich mierzonych przez monitory parametrów.</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 podać</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Funkcja analizy najczęściej występujących alarmów u danego pacjenta z prezentacją wartości progowych i trendów podstawowych parametrów życiowych. </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Oprogramowanie centrali w języku polskim.</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bottom"/>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Funkcjonalność autoryzowanego dostępu w trybie odczytu do danych monitorowanych przez centralę możliwy z dowolnego komputera z poziomu przeglądarki internetowej. Dostęp chroniony hasłem dostępu. </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System gotowy do przesyłania i odbierania danych w standardzie HL7. </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Drukarka laserowa, sieciowa podłączona do systemu w formacie A4.</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Zasilacz awaryjny typu UPS.</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Możliwość rozbudowy systemu o funkcjonalność umożliwiającą elastyczną regulację przypisanych licencji pomiędzy centralami, które są podpięte pod jeden serwer wymiany danych. Możliwość przepisywania pacjentów pomiędzy centralami oraz oddziałami z zachowaniem ciągłości danych. Możliwość udostępniania przeglądów specjalistycznych typu raport 12-EKG celem wykonania konsultacji np. kardiologicznych. Możliwość podglądu jednego pacjenta na kilku różnych centralach i kilku różnych kardiomonitorach. </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Możliwość rozbudowy o funkcjonalność integracji danych z posiadanym przez Zamawiającego systemem </w:t>
            </w:r>
            <w:proofErr w:type="spellStart"/>
            <w:r w:rsidRPr="00FE4424">
              <w:rPr>
                <w:rFonts w:eastAsia="Times New Roman" w:cstheme="minorHAnsi"/>
                <w:color w:val="000000"/>
                <w:sz w:val="24"/>
                <w:szCs w:val="24"/>
                <w:lang w:eastAsia="pl-PL"/>
              </w:rPr>
              <w:t>ogólno</w:t>
            </w:r>
            <w:proofErr w:type="spellEnd"/>
            <w:r w:rsidRPr="00FE4424">
              <w:rPr>
                <w:rFonts w:eastAsia="Times New Roman" w:cstheme="minorHAnsi"/>
                <w:color w:val="000000"/>
                <w:sz w:val="24"/>
                <w:szCs w:val="24"/>
                <w:lang w:eastAsia="pl-PL"/>
              </w:rPr>
              <w:t>-szpitalnym HIS.</w:t>
            </w:r>
            <w:r w:rsidRPr="00FE4424">
              <w:rPr>
                <w:rFonts w:eastAsia="Times New Roman" w:cstheme="minorHAnsi"/>
                <w:color w:val="000000"/>
                <w:sz w:val="24"/>
                <w:szCs w:val="24"/>
                <w:lang w:eastAsia="pl-PL"/>
              </w:rPr>
              <w:br/>
              <w:t>Zakres danych będących przedmiotem integracji:</w:t>
            </w:r>
            <w:r w:rsidRPr="00FE4424">
              <w:rPr>
                <w:rFonts w:eastAsia="Times New Roman" w:cstheme="minorHAnsi"/>
                <w:color w:val="000000"/>
                <w:sz w:val="24"/>
                <w:szCs w:val="24"/>
                <w:lang w:eastAsia="pl-PL"/>
              </w:rPr>
              <w:br/>
              <w:t>- integracja w zakresie ruchu chorych (ADT) z odsyłaniem wyników razem z krzywą EKG</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współpraca dwukierunkowa systemu z systemem HIS wg protokołu HL7 (integracja HL7 min. dla modułu zapytań (QRY), raportowania (ORU))</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odczyt kodów paskowych z ID pacjenta z kodu kreskowego szpitalnego systemu identyfikacji pacjentów oraz import danych pacjenta z systemu HIS (ADT) bezpośrednio do systemu monitorowania.</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bottom w:val="single" w:sz="4" w:space="0" w:color="auto"/>
            </w:tcBorders>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W dniu instalacji szkolenie personelu z obsługi dostarczonych urządzeń</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auto"/>
              <w:left w:val="nil"/>
              <w:bottom w:val="single" w:sz="4" w:space="0" w:color="auto"/>
              <w:right w:val="nil"/>
            </w:tcBorders>
            <w:shd w:val="clear" w:color="auto" w:fill="auto"/>
            <w:tcMar>
              <w:left w:w="60" w:type="dxa"/>
            </w:tcMar>
            <w:vAlign w:val="center"/>
          </w:tcPr>
          <w:p w:rsidR="00320BF8" w:rsidRPr="00FE4424" w:rsidRDefault="00320BF8" w:rsidP="00320BF8">
            <w:pPr>
              <w:rPr>
                <w:rFonts w:cstheme="minorHAnsi"/>
                <w:color w:val="000000"/>
                <w:sz w:val="24"/>
                <w:szCs w:val="24"/>
              </w:rPr>
            </w:pPr>
            <w:r w:rsidRPr="00FE4424">
              <w:rPr>
                <w:rFonts w:cstheme="minorHAnsi"/>
                <w:color w:val="000000"/>
                <w:sz w:val="24"/>
                <w:szCs w:val="24"/>
              </w:rPr>
              <w:t>W okresie do 6 miesięcy od daty instalacji szkolenie serwisowe dla 2 osób z dostarczonych urządzeń potwierdzone imiennymi certyfikatami do wykonywania napraw i przeglądów technicznych. Ważność szkolenia – bezterminowo. Udostępnienie elektronicznej instrukcji serwisowej. Udostępnienie kodów serwisowych  - jeżeli są używane i konieczne do obsługi serwisowej.</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auto"/>
            </w:tcBorders>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Instrukcja obsługi, instrukcja czyszczenia/dezynfekcji w języku polskim oraz dokumenty: deklaracja zgodności, CE  w wersji zarówno papierowej jak i elektronicznej np. na płycie CD (format PDF) dostarczana na etapie instalacji urządzenia</w:t>
            </w:r>
            <w:r w:rsidRPr="00FE4424">
              <w:rPr>
                <w:rFonts w:cstheme="minorHAnsi"/>
                <w:sz w:val="24"/>
                <w:szCs w:val="24"/>
              </w:rPr>
              <w:tab/>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 okresie gwarancyjnym przeglądy techniczne urządzenia w liczbie,  zakresie i terminie wynikającym z daty uruchomienia zalecanym przez producenta dokonywane w siedzibie Zamawiającego w cenie oferty. Elementy zużywalne wykorzystane do przeglądu technicznego w cenie oferty. Przeglądy powinny być wykonywane z inicjatywy Wykonawcy, ale z uwzględnieniem ustaleń z Zamawiającym.  Obowiązkowy przegląd w ostatnim miesiącu gwarancji. Przesunięcie któregoś z przeglądu z winy Wykonawcy wydłuża okres gwarancji o okres przesunięcia.  W przypadku braku konieczności wykonywania przeglądów technicznych przez Producenta Wykonawca wskaże stosowny zapis w dokumentach producenta urządzenia.</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Liczba przeglądów gwarancyjnych łącznie z przeglądem w ostatnim miesiącu gwarancji</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 podać ilość przeglądów</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Wykaz upoważnionych serwisów urządzenia na teranie Polski zawierający nazwę firmy, adres, telefon, fax. Nazwisko i imię osoby do kontaktu/serwisu (wskazać w materiałach , instrukcji obsługi kto jest upoważniony do wykonywania napraw serwisowych)</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 xml:space="preserve">Zapewnienie dostępu do części do napraw, serwisu pogwarancyjnego min. 10 lat od daty  odbioru przedmiotu zamówienia . </w:t>
            </w:r>
          </w:p>
          <w:p w:rsidR="00320BF8" w:rsidRPr="00FE4424" w:rsidRDefault="00320BF8" w:rsidP="00320BF8">
            <w:pPr>
              <w:spacing w:after="0" w:line="240" w:lineRule="auto"/>
              <w:rPr>
                <w:rFonts w:eastAsiaTheme="minorEastAsia" w:cstheme="minorHAnsi"/>
                <w:sz w:val="24"/>
                <w:szCs w:val="24"/>
              </w:rPr>
            </w:pP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Gwarancja min. 36 miesięcy</w:t>
            </w:r>
          </w:p>
        </w:tc>
        <w:tc>
          <w:tcPr>
            <w:tcW w:w="1489" w:type="dxa"/>
            <w:tcMar>
              <w:left w:w="60" w:type="dxa"/>
            </w:tcMar>
          </w:tcPr>
          <w:p w:rsidR="00320BF8" w:rsidRPr="00FE4424" w:rsidRDefault="00320BF8" w:rsidP="00320BF8">
            <w:pPr>
              <w:jc w:val="center"/>
              <w:rPr>
                <w:rFonts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spacing w:after="0" w:line="240" w:lineRule="auto"/>
              <w:jc w:val="center"/>
              <w:rPr>
                <w:rFonts w:eastAsiaTheme="minorEastAsia" w:cstheme="minorHAnsi"/>
                <w:sz w:val="24"/>
                <w:szCs w:val="24"/>
              </w:rPr>
            </w:pPr>
          </w:p>
        </w:tc>
        <w:tc>
          <w:tcPr>
            <w:tcW w:w="1373" w:type="dxa"/>
          </w:tcPr>
          <w:p w:rsidR="00320BF8" w:rsidRPr="00FE4424" w:rsidRDefault="00320BF8" w:rsidP="00320BF8">
            <w:pPr>
              <w:spacing w:after="0" w:line="240" w:lineRule="auto"/>
              <w:jc w:val="center"/>
              <w:rPr>
                <w:rFonts w:eastAsiaTheme="minorEastAsia" w:cstheme="minorHAnsi"/>
                <w:sz w:val="24"/>
                <w:szCs w:val="24"/>
              </w:rPr>
            </w:pPr>
          </w:p>
        </w:tc>
        <w:tc>
          <w:tcPr>
            <w:tcW w:w="1821"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36 miesięcy-0 pkt.</w:t>
            </w:r>
          </w:p>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48 miesięcy–10pkt</w:t>
            </w:r>
          </w:p>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60 miesięcy–20pkt</w:t>
            </w:r>
          </w:p>
        </w:tc>
      </w:tr>
    </w:tbl>
    <w:p w:rsidR="00320BF8" w:rsidRPr="00FE4424" w:rsidRDefault="00320BF8" w:rsidP="00320BF8">
      <w:pPr>
        <w:rPr>
          <w:rFonts w:cstheme="minorHAnsi"/>
          <w:sz w:val="24"/>
          <w:szCs w:val="24"/>
        </w:rPr>
      </w:pPr>
    </w:p>
    <w:p w:rsidR="00320BF8" w:rsidRPr="00FE4424" w:rsidRDefault="00320BF8" w:rsidP="00320BF8">
      <w:pPr>
        <w:rPr>
          <w:rFonts w:cstheme="minorHAnsi"/>
          <w:sz w:val="24"/>
          <w:szCs w:val="24"/>
        </w:rPr>
      </w:pPr>
    </w:p>
    <w:p w:rsidR="00320BF8" w:rsidRPr="00FE4424" w:rsidRDefault="00320BF8" w:rsidP="00320BF8">
      <w:pPr>
        <w:rPr>
          <w:rFonts w:cstheme="minorHAnsi"/>
          <w:sz w:val="24"/>
          <w:szCs w:val="24"/>
        </w:rPr>
      </w:pPr>
    </w:p>
    <w:p w:rsidR="00320BF8" w:rsidRPr="00FE4424" w:rsidRDefault="00320BF8" w:rsidP="00320BF8">
      <w:pPr>
        <w:rPr>
          <w:rFonts w:cstheme="minorHAnsi"/>
          <w:sz w:val="24"/>
          <w:szCs w:val="24"/>
        </w:rPr>
      </w:pPr>
    </w:p>
    <w:p w:rsidR="00320BF8" w:rsidRPr="00FE4424" w:rsidRDefault="00320BF8" w:rsidP="00320BF8">
      <w:pPr>
        <w:pStyle w:val="Nagwek1"/>
        <w:numPr>
          <w:ilvl w:val="0"/>
          <w:numId w:val="0"/>
        </w:numPr>
        <w:rPr>
          <w:rFonts w:asciiTheme="minorHAnsi" w:hAnsiTheme="minorHAnsi" w:cstheme="minorHAnsi"/>
          <w:sz w:val="24"/>
        </w:rPr>
      </w:pPr>
      <w:bookmarkStart w:id="13" w:name="_Toc221092122"/>
      <w:bookmarkStart w:id="14" w:name="_Toc225839457"/>
      <w:r w:rsidRPr="00FE4424">
        <w:rPr>
          <w:rFonts w:asciiTheme="minorHAnsi" w:hAnsiTheme="minorHAnsi" w:cstheme="minorHAnsi"/>
          <w:noProof/>
          <w:sz w:val="24"/>
        </w:rPr>
        <w:t xml:space="preserve">Pakiet </w:t>
      </w:r>
      <w:r w:rsidR="002C5F1E" w:rsidRPr="00FE4424">
        <w:rPr>
          <w:rFonts w:asciiTheme="minorHAnsi" w:hAnsiTheme="minorHAnsi" w:cstheme="minorHAnsi"/>
          <w:noProof/>
          <w:sz w:val="24"/>
        </w:rPr>
        <w:t>6</w:t>
      </w:r>
      <w:r w:rsidRPr="00FE4424">
        <w:rPr>
          <w:rFonts w:asciiTheme="minorHAnsi" w:hAnsiTheme="minorHAnsi" w:cstheme="minorHAnsi"/>
          <w:noProof/>
          <w:sz w:val="24"/>
        </w:rPr>
        <w:t>.  System elektroanatomiczny do ablacji arytmii złożonych z wykorzystaniem energii prądu o częstotliwości radiowej i elektroporacji do Pracowni Elektroterapii dla DOR -szt. 1</w:t>
      </w:r>
      <w:bookmarkEnd w:id="13"/>
      <w:bookmarkEnd w:id="14"/>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Pełna nazwa urządzenia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Producent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Kraj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Rok produkcji: 2025/2026</w:t>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p>
    <w:tbl>
      <w:tblPr>
        <w:tblW w:w="11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5" w:type="dxa"/>
        </w:tblCellMar>
        <w:tblLook w:val="0000" w:firstRow="0" w:lastRow="0" w:firstColumn="0" w:lastColumn="0" w:noHBand="0" w:noVBand="0"/>
      </w:tblPr>
      <w:tblGrid>
        <w:gridCol w:w="721"/>
        <w:gridCol w:w="4382"/>
        <w:gridCol w:w="1489"/>
        <w:gridCol w:w="1346"/>
        <w:gridCol w:w="1373"/>
        <w:gridCol w:w="1821"/>
      </w:tblGrid>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widowControl w:val="0"/>
              <w:suppressAutoHyphens/>
              <w:spacing w:after="0" w:line="240" w:lineRule="auto"/>
              <w:ind w:left="-49"/>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ind w:left="-49"/>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L.p.</w:t>
            </w:r>
          </w:p>
        </w:tc>
        <w:tc>
          <w:tcPr>
            <w:tcW w:w="4382"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Nazwa i opis parametru lub funkcji urządzenia</w:t>
            </w:r>
          </w:p>
          <w:p w:rsidR="00320BF8" w:rsidRPr="00FE4424" w:rsidRDefault="00320BF8" w:rsidP="00320BF8">
            <w:pPr>
              <w:widowControl w:val="0"/>
              <w:suppressAutoHyphens/>
              <w:spacing w:after="0" w:line="240" w:lineRule="auto"/>
              <w:rPr>
                <w:rFonts w:eastAsia="Lucida Sans Unicode" w:cstheme="minorHAnsi"/>
                <w:b/>
                <w:sz w:val="24"/>
                <w:szCs w:val="24"/>
                <w:lang w:eastAsia="zh-CN" w:bidi="hi-IN"/>
              </w:rPr>
            </w:pPr>
          </w:p>
        </w:tc>
        <w:tc>
          <w:tcPr>
            <w:tcW w:w="1489"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wymagany</w:t>
            </w:r>
          </w:p>
        </w:tc>
        <w:tc>
          <w:tcPr>
            <w:tcW w:w="1346"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oferowany</w:t>
            </w:r>
          </w:p>
        </w:tc>
        <w:tc>
          <w:tcPr>
            <w:tcW w:w="1373" w:type="dxa"/>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 xml:space="preserve">Nr strony w mat. </w:t>
            </w:r>
            <w:proofErr w:type="spellStart"/>
            <w:r w:rsidRPr="00FE4424">
              <w:rPr>
                <w:rFonts w:eastAsia="Lucida Sans Unicode" w:cstheme="minorHAnsi"/>
                <w:b/>
                <w:sz w:val="24"/>
                <w:szCs w:val="24"/>
                <w:lang w:eastAsia="zh-CN" w:bidi="hi-IN"/>
              </w:rPr>
              <w:t>infor</w:t>
            </w:r>
            <w:proofErr w:type="spellEnd"/>
            <w:r w:rsidRPr="00FE4424">
              <w:rPr>
                <w:rFonts w:eastAsia="Lucida Sans Unicode" w:cstheme="minorHAnsi"/>
                <w:b/>
                <w:sz w:val="24"/>
                <w:szCs w:val="24"/>
                <w:lang w:eastAsia="zh-CN" w:bidi="hi-IN"/>
              </w:rPr>
              <w:t>. z potwierdzeniem parametru</w:t>
            </w:r>
          </w:p>
        </w:tc>
        <w:tc>
          <w:tcPr>
            <w:tcW w:w="1821"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Ocena</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 xml:space="preserve">Urządzenie fabrycznie nowe, </w:t>
            </w:r>
            <w:proofErr w:type="spellStart"/>
            <w:r w:rsidRPr="00FE4424">
              <w:rPr>
                <w:rFonts w:eastAsiaTheme="minorEastAsia" w:cstheme="minorHAnsi"/>
                <w:sz w:val="24"/>
                <w:szCs w:val="24"/>
              </w:rPr>
              <w:t>nierekondycjonowane</w:t>
            </w:r>
            <w:proofErr w:type="spellEnd"/>
          </w:p>
        </w:tc>
        <w:tc>
          <w:tcPr>
            <w:tcW w:w="1489" w:type="dxa"/>
            <w:shd w:val="clear" w:color="auto" w:fill="auto"/>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spacing w:line="240" w:lineRule="auto"/>
              <w:rPr>
                <w:rFonts w:cstheme="minorHAnsi"/>
                <w:sz w:val="24"/>
                <w:szCs w:val="24"/>
              </w:rPr>
            </w:pPr>
            <w:r w:rsidRPr="00FE4424">
              <w:rPr>
                <w:rFonts w:cstheme="minorHAnsi"/>
                <w:spacing w:val="-5"/>
                <w:sz w:val="24"/>
                <w:szCs w:val="24"/>
              </w:rPr>
              <w:t>Model / typ</w:t>
            </w:r>
          </w:p>
        </w:tc>
        <w:tc>
          <w:tcPr>
            <w:tcW w:w="1489"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Tak</w:t>
            </w:r>
          </w:p>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(podać)</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System </w:t>
            </w:r>
            <w:proofErr w:type="spellStart"/>
            <w:r w:rsidRPr="00FE4424">
              <w:rPr>
                <w:rFonts w:cstheme="minorHAnsi"/>
                <w:sz w:val="24"/>
                <w:szCs w:val="24"/>
              </w:rPr>
              <w:t>elektroanatomiczny</w:t>
            </w:r>
            <w:proofErr w:type="spellEnd"/>
            <w:r w:rsidRPr="00FE4424">
              <w:rPr>
                <w:rFonts w:cstheme="minorHAnsi"/>
                <w:sz w:val="24"/>
                <w:szCs w:val="24"/>
              </w:rPr>
              <w:t xml:space="preserve"> 3D umożliwiający ablację RF i PFA</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Generator RF; zakres impedancji 20-110 Ohm, prąd wyjściowy 3,75A,</w:t>
            </w:r>
          </w:p>
          <w:p w:rsidR="00320BF8" w:rsidRPr="00FE4424" w:rsidRDefault="00320BF8" w:rsidP="00320BF8">
            <w:pPr>
              <w:rPr>
                <w:rFonts w:cstheme="minorHAnsi"/>
                <w:sz w:val="24"/>
                <w:szCs w:val="24"/>
              </w:rPr>
            </w:pPr>
            <w:r w:rsidRPr="00FE4424">
              <w:rPr>
                <w:rFonts w:cstheme="minorHAnsi"/>
                <w:sz w:val="24"/>
                <w:szCs w:val="24"/>
              </w:rPr>
              <w:t xml:space="preserve">Waga do 25kg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Wartość graniczna – 0 pkt, Szerszy zakres impedancji – 10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Generator PFA; zakres impedancji 20-120 Ohm, waga do 20 kg</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Jednostka interfejsu cewnika; maksymalny prąd stymulacji 20mA, waga do 20 kg</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Pompa irygacyjna; przepływ mapowanie 4 </w:t>
            </w:r>
            <w:proofErr w:type="spellStart"/>
            <w:r w:rsidRPr="00FE4424">
              <w:rPr>
                <w:rFonts w:cstheme="minorHAnsi"/>
                <w:sz w:val="24"/>
                <w:szCs w:val="24"/>
              </w:rPr>
              <w:t>mL</w:t>
            </w:r>
            <w:proofErr w:type="spellEnd"/>
            <w:r w:rsidRPr="00FE4424">
              <w:rPr>
                <w:rFonts w:cstheme="minorHAnsi"/>
                <w:sz w:val="24"/>
                <w:szCs w:val="24"/>
              </w:rPr>
              <w:t xml:space="preserve">/min, przepływ ablacja PF 15mL/min, przepływ ablacja RF 30mL/min, </w:t>
            </w:r>
            <w:r w:rsidR="00BE720A" w:rsidRPr="00FE4424">
              <w:rPr>
                <w:rFonts w:cstheme="minorHAnsi"/>
                <w:sz w:val="24"/>
                <w:szCs w:val="24"/>
              </w:rPr>
              <w:t>detekcja pęcherzyków powietrza &gt;=</w:t>
            </w:r>
            <w:r w:rsidRPr="00FE4424">
              <w:rPr>
                <w:rFonts w:cstheme="minorHAnsi"/>
                <w:sz w:val="24"/>
                <w:szCs w:val="24"/>
              </w:rPr>
              <w:t>2µL</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Wszystkie elementy systemu na jednym wózku jezdnym, umożliwiającym łatwe przemieszczanie</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Ładowność wózka systemowego do 150 kg</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Jednostka sterująca aplikacjami, mysz, klawiatura, oraz komputer typu desktop do instalacji w sterowni pracowni</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Połączenie między salą zabiegową a sterownią na jednym kablu światłowodowym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System w najbardziej aktualnej wersji dostępnej na rynku</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Możliwość współpracy z elektrodą ablacyjną dostarczająca w ramach jednego zabiegu energie RF lub PFA do wyboru </w:t>
            </w:r>
            <w:proofErr w:type="spellStart"/>
            <w:r w:rsidRPr="00FE4424">
              <w:rPr>
                <w:rFonts w:cstheme="minorHAnsi"/>
                <w:sz w:val="24"/>
                <w:szCs w:val="24"/>
              </w:rPr>
              <w:t>śródzabiegowo</w:t>
            </w:r>
            <w:proofErr w:type="spellEnd"/>
            <w:r w:rsidRPr="00FE4424">
              <w:rPr>
                <w:rFonts w:cstheme="minorHAnsi"/>
                <w:sz w:val="24"/>
                <w:szCs w:val="24"/>
              </w:rPr>
              <w:t xml:space="preserve"> przez operatora</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Możliwość współpracy z elektrodą ablacyjną umożliwiającą także mapowanie w jakości HD</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W dniu instalacji szkolenie personelu z obsługi dostarczonych urządzeń</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W dniu instalacji szkolenie osób będących pracownikami Sekcji Aparatury Medycznej w zakresie obsługi serwisowej potwierdzone imiennymi certyfikatami do wykonywania drobnych napraw i przeglądów technicznych dostarczonych urządzeń. Ważność szkolenia – bezterminowo. W dniu instalacji dostarczenie elektronicznej instrukcji serwisowej. Udostępnienie kodów serwisowych  - jeżeli są używane i konieczne do obsługi serwisowej.</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Tak/Nie</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Tak – 10 pkt</w:t>
            </w:r>
          </w:p>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Nie – 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Instrukcja obsługi, instrukcja czyszczenia/dezynfekcji w języku polskim oraz dokumenty: deklaracja zgodności, CE  w wersji zarówno papierowej jak i elektronicznej np. na płycie CD (format PDF) dostarczana na etapie instalacji urządzenia</w:t>
            </w:r>
            <w:r w:rsidRPr="00FE4424">
              <w:rPr>
                <w:rFonts w:cstheme="minorHAnsi"/>
                <w:sz w:val="24"/>
                <w:szCs w:val="24"/>
              </w:rPr>
              <w:tab/>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 okresie gwarancyjnym przeglądy techniczne urządzenia w liczbie,  zakresie i terminie wynikającym z daty uruchomienia zalecanym przez producenta dokonywane w siedzibie Zamawiającego w cenie oferty. Elementy zużywalne wykorzystane do przeglądu technicznego w cenie oferty. Przeglądy powinny być wykonywane z inicjatywy Wykonawcy, ale z uwzględnieniem ustaleń z Zamawiającym.  Obowiązkowy przegląd w ostatnim miesiącu gwarancji. Przesunięcie któregoś z przeglądu z winy Wykonawcy wydłuża okres gwarancji o okres przesunięcia.  W przypadku braku konieczności wykonywania przeglądów technicznych przez Producenta Wykonawca wskaże stosowny zapis w dokumentach producenta urządzenia.</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Liczba przeglądów gwarancyjnych łącznie z przeglądem w ostatnim miesiącu gwarancji</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 podać ilość przeglądów</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Wykaz upoważnionych serwisów urządzenia na teranie Polski zawierający nazwę firmy, adres, telefon, fax. Nazwisko i imię osoby do kontaktu/serwisu (wskazać w materiałach , instrukcji obsługi kto jest upoważniony do wykonywania napraw serwisowych)</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2578B4" w:rsidRPr="00FE4424" w:rsidTr="00320BF8">
        <w:trPr>
          <w:cantSplit/>
          <w:trHeight w:val="112"/>
          <w:jc w:val="center"/>
        </w:trPr>
        <w:tc>
          <w:tcPr>
            <w:tcW w:w="721" w:type="dxa"/>
            <w:shd w:val="clear" w:color="auto" w:fill="auto"/>
            <w:tcMar>
              <w:left w:w="60" w:type="dxa"/>
            </w:tcMar>
          </w:tcPr>
          <w:p w:rsidR="002578B4" w:rsidRPr="00FE4424" w:rsidRDefault="002578B4" w:rsidP="002578B4">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2578B4" w:rsidRPr="00FE4424" w:rsidRDefault="002578B4" w:rsidP="002578B4">
            <w:pPr>
              <w:spacing w:after="0" w:line="240" w:lineRule="auto"/>
              <w:rPr>
                <w:rFonts w:eastAsiaTheme="minorEastAsia" w:cstheme="minorHAnsi"/>
                <w:sz w:val="24"/>
                <w:szCs w:val="24"/>
              </w:rPr>
            </w:pPr>
            <w:r w:rsidRPr="00FE4424">
              <w:rPr>
                <w:rFonts w:eastAsiaTheme="minorEastAsia" w:cstheme="minorHAnsi"/>
                <w:sz w:val="24"/>
                <w:szCs w:val="24"/>
              </w:rPr>
              <w:t xml:space="preserve">Zapewnienie dostępu do części do napraw, serwisu pogwarancyjnego min. 10 lat od daty  odbioru przedmiotu zamówienia . </w:t>
            </w:r>
          </w:p>
          <w:p w:rsidR="002578B4" w:rsidRPr="00FE4424" w:rsidRDefault="002578B4" w:rsidP="002578B4">
            <w:pPr>
              <w:spacing w:after="0" w:line="240" w:lineRule="auto"/>
              <w:rPr>
                <w:rFonts w:eastAsiaTheme="minorEastAsia" w:cstheme="minorHAnsi"/>
                <w:sz w:val="24"/>
                <w:szCs w:val="24"/>
              </w:rPr>
            </w:pPr>
          </w:p>
        </w:tc>
        <w:tc>
          <w:tcPr>
            <w:tcW w:w="1489" w:type="dxa"/>
            <w:tcMar>
              <w:left w:w="60" w:type="dxa"/>
            </w:tcMar>
          </w:tcPr>
          <w:p w:rsidR="002578B4" w:rsidRPr="00FE4424" w:rsidRDefault="002578B4" w:rsidP="002578B4">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c>
          <w:tcPr>
            <w:tcW w:w="1373" w:type="dxa"/>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Gwarancja min. 36 miesięcy</w:t>
            </w:r>
          </w:p>
        </w:tc>
        <w:tc>
          <w:tcPr>
            <w:tcW w:w="1489" w:type="dxa"/>
            <w:tcMar>
              <w:left w:w="60" w:type="dxa"/>
            </w:tcMar>
          </w:tcPr>
          <w:p w:rsidR="00320BF8" w:rsidRPr="00FE4424" w:rsidRDefault="00320BF8" w:rsidP="00320BF8">
            <w:pPr>
              <w:jc w:val="center"/>
              <w:rPr>
                <w:rFonts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spacing w:after="0" w:line="240" w:lineRule="auto"/>
              <w:jc w:val="center"/>
              <w:rPr>
                <w:rFonts w:eastAsiaTheme="minorEastAsia" w:cstheme="minorHAnsi"/>
                <w:sz w:val="24"/>
                <w:szCs w:val="24"/>
              </w:rPr>
            </w:pPr>
          </w:p>
        </w:tc>
        <w:tc>
          <w:tcPr>
            <w:tcW w:w="1373" w:type="dxa"/>
          </w:tcPr>
          <w:p w:rsidR="00320BF8" w:rsidRPr="00FE4424" w:rsidRDefault="00320BF8" w:rsidP="00320BF8">
            <w:pPr>
              <w:spacing w:after="0" w:line="240" w:lineRule="auto"/>
              <w:jc w:val="center"/>
              <w:rPr>
                <w:rFonts w:eastAsiaTheme="minorEastAsia" w:cstheme="minorHAnsi"/>
                <w:sz w:val="24"/>
                <w:szCs w:val="24"/>
              </w:rPr>
            </w:pPr>
          </w:p>
        </w:tc>
        <w:tc>
          <w:tcPr>
            <w:tcW w:w="1821"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36 miesięcy-0 pkt.</w:t>
            </w:r>
          </w:p>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48 miesięcy–10pkt</w:t>
            </w:r>
          </w:p>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60 miesięcy–20pkt</w:t>
            </w:r>
          </w:p>
        </w:tc>
      </w:tr>
    </w:tbl>
    <w:p w:rsidR="00320BF8" w:rsidRPr="00FE4424" w:rsidRDefault="00320BF8" w:rsidP="00320BF8">
      <w:pPr>
        <w:rPr>
          <w:rFonts w:cstheme="minorHAnsi"/>
          <w:sz w:val="24"/>
          <w:szCs w:val="24"/>
        </w:rPr>
      </w:pPr>
    </w:p>
    <w:p w:rsidR="00320BF8" w:rsidRPr="00FE4424" w:rsidRDefault="00320BF8" w:rsidP="00320BF8">
      <w:pPr>
        <w:rPr>
          <w:rFonts w:cstheme="minorHAnsi"/>
          <w:sz w:val="24"/>
          <w:szCs w:val="24"/>
        </w:rPr>
      </w:pPr>
    </w:p>
    <w:p w:rsidR="00320BF8" w:rsidRPr="00FE4424" w:rsidRDefault="00320BF8" w:rsidP="00320BF8">
      <w:pPr>
        <w:pStyle w:val="Nagwek1"/>
        <w:numPr>
          <w:ilvl w:val="0"/>
          <w:numId w:val="0"/>
        </w:numPr>
        <w:rPr>
          <w:rFonts w:asciiTheme="minorHAnsi" w:hAnsiTheme="minorHAnsi" w:cstheme="minorHAnsi"/>
          <w:sz w:val="24"/>
        </w:rPr>
      </w:pPr>
      <w:r w:rsidRPr="00FE4424">
        <w:rPr>
          <w:rFonts w:asciiTheme="minorHAnsi" w:hAnsiTheme="minorHAnsi" w:cstheme="minorHAnsi"/>
          <w:sz w:val="24"/>
        </w:rPr>
        <w:br w:type="page"/>
      </w:r>
      <w:bookmarkStart w:id="15" w:name="_Toc221092126"/>
      <w:bookmarkStart w:id="16" w:name="_Toc225839458"/>
      <w:r w:rsidR="002C5F1E" w:rsidRPr="00FE4424">
        <w:rPr>
          <w:rFonts w:asciiTheme="minorHAnsi" w:hAnsiTheme="minorHAnsi" w:cstheme="minorHAnsi"/>
          <w:noProof/>
          <w:sz w:val="24"/>
        </w:rPr>
        <w:lastRenderedPageBreak/>
        <w:t>Pakiet 7</w:t>
      </w:r>
      <w:r w:rsidRPr="00FE4424">
        <w:rPr>
          <w:rFonts w:asciiTheme="minorHAnsi" w:hAnsiTheme="minorHAnsi" w:cstheme="minorHAnsi"/>
          <w:noProof/>
          <w:sz w:val="24"/>
        </w:rPr>
        <w:t>.  Activ do świadczeń kończyn górnych i dolnych -szt. 2</w:t>
      </w:r>
      <w:bookmarkEnd w:id="15"/>
      <w:bookmarkEnd w:id="16"/>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Pełna nazwa urządzenia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Producent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Kraj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Rok produkcji: 2025/2026</w:t>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p>
    <w:tbl>
      <w:tblPr>
        <w:tblW w:w="11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5" w:type="dxa"/>
        </w:tblCellMar>
        <w:tblLook w:val="0000" w:firstRow="0" w:lastRow="0" w:firstColumn="0" w:lastColumn="0" w:noHBand="0" w:noVBand="0"/>
      </w:tblPr>
      <w:tblGrid>
        <w:gridCol w:w="721"/>
        <w:gridCol w:w="4382"/>
        <w:gridCol w:w="1489"/>
        <w:gridCol w:w="1346"/>
        <w:gridCol w:w="1373"/>
        <w:gridCol w:w="1821"/>
      </w:tblGrid>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widowControl w:val="0"/>
              <w:suppressAutoHyphens/>
              <w:spacing w:after="0" w:line="240" w:lineRule="auto"/>
              <w:ind w:left="-49"/>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ind w:left="-49"/>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L.p.</w:t>
            </w:r>
          </w:p>
        </w:tc>
        <w:tc>
          <w:tcPr>
            <w:tcW w:w="4382"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Nazwa i opis parametru lub funkcji urządzenia</w:t>
            </w:r>
          </w:p>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p>
        </w:tc>
        <w:tc>
          <w:tcPr>
            <w:tcW w:w="1489"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wymagany</w:t>
            </w:r>
          </w:p>
        </w:tc>
        <w:tc>
          <w:tcPr>
            <w:tcW w:w="1346"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oferowany</w:t>
            </w:r>
          </w:p>
        </w:tc>
        <w:tc>
          <w:tcPr>
            <w:tcW w:w="1373" w:type="dxa"/>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 xml:space="preserve">Nr strony w mat. </w:t>
            </w:r>
            <w:proofErr w:type="spellStart"/>
            <w:r w:rsidRPr="00FE4424">
              <w:rPr>
                <w:rFonts w:eastAsia="Lucida Sans Unicode" w:cstheme="minorHAnsi"/>
                <w:b/>
                <w:sz w:val="24"/>
                <w:szCs w:val="24"/>
                <w:lang w:eastAsia="zh-CN" w:bidi="hi-IN"/>
              </w:rPr>
              <w:t>infor</w:t>
            </w:r>
            <w:proofErr w:type="spellEnd"/>
            <w:r w:rsidRPr="00FE4424">
              <w:rPr>
                <w:rFonts w:eastAsia="Lucida Sans Unicode" w:cstheme="minorHAnsi"/>
                <w:b/>
                <w:sz w:val="24"/>
                <w:szCs w:val="24"/>
                <w:lang w:eastAsia="zh-CN" w:bidi="hi-IN"/>
              </w:rPr>
              <w:t>. z potwierdzeniem parametru</w:t>
            </w:r>
          </w:p>
        </w:tc>
        <w:tc>
          <w:tcPr>
            <w:tcW w:w="1821"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Ocena</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 xml:space="preserve">Urządzenie fabrycznie nowe, </w:t>
            </w:r>
            <w:proofErr w:type="spellStart"/>
            <w:r w:rsidRPr="00FE4424">
              <w:rPr>
                <w:rFonts w:eastAsiaTheme="minorEastAsia" w:cstheme="minorHAnsi"/>
                <w:sz w:val="24"/>
                <w:szCs w:val="24"/>
              </w:rPr>
              <w:t>nierekondycjonowane</w:t>
            </w:r>
            <w:proofErr w:type="spellEnd"/>
          </w:p>
        </w:tc>
        <w:tc>
          <w:tcPr>
            <w:tcW w:w="1489" w:type="dxa"/>
            <w:shd w:val="clear" w:color="auto" w:fill="auto"/>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spacing w:line="240" w:lineRule="auto"/>
              <w:rPr>
                <w:rFonts w:cstheme="minorHAnsi"/>
                <w:sz w:val="24"/>
                <w:szCs w:val="24"/>
              </w:rPr>
            </w:pPr>
            <w:r w:rsidRPr="00FE4424">
              <w:rPr>
                <w:rFonts w:cstheme="minorHAnsi"/>
                <w:spacing w:val="-5"/>
                <w:sz w:val="24"/>
                <w:szCs w:val="24"/>
              </w:rPr>
              <w:t>Model / typ</w:t>
            </w:r>
          </w:p>
        </w:tc>
        <w:tc>
          <w:tcPr>
            <w:tcW w:w="1489"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Tak</w:t>
            </w:r>
          </w:p>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(podać)</w:t>
            </w:r>
          </w:p>
        </w:tc>
        <w:tc>
          <w:tcPr>
            <w:tcW w:w="1346"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spacing w:line="240" w:lineRule="auto"/>
              <w:rPr>
                <w:rFonts w:cstheme="minorHAnsi"/>
                <w:sz w:val="24"/>
                <w:szCs w:val="24"/>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Urządzenie  do rehabilitacji ruchem pasywnym i aktywnym </w:t>
            </w:r>
          </w:p>
        </w:tc>
        <w:tc>
          <w:tcPr>
            <w:tcW w:w="1489" w:type="dxa"/>
            <w:shd w:val="clear" w:color="auto" w:fill="auto"/>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Urządzenie do rehabilitacji kończyn dolnych i górnych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Zastosowanie w pozycji siedzącej na krześle lub wózku inwalidzkim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Napęd rozluźniający łagodny rozruch i łagodne zakończenie ćwiczenia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Kolorowy wyświetlacz z funkcją dotykową, przekątna ekranu 7''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r w:rsidRPr="00FE4424">
              <w:rPr>
                <w:rFonts w:eastAsia="Lucida Sans Unicode" w:cstheme="minorHAnsi"/>
                <w:sz w:val="24"/>
                <w:szCs w:val="24"/>
                <w:lang w:eastAsia="zh-CN" w:bidi="hi-IN"/>
              </w:rPr>
              <w:t xml:space="preserve">Wartość graniczna – 0 pkt, powyżej </w:t>
            </w:r>
            <w:r w:rsidRPr="00FE4424">
              <w:rPr>
                <w:rFonts w:cstheme="minorHAnsi"/>
                <w:sz w:val="24"/>
                <w:szCs w:val="24"/>
              </w:rPr>
              <w:t>7'' – 10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Program treningowy do rehabilitacji neurologicznej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Program treningowy do rehabilitacji ortopedycznej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Program treningowy ćwiczeń izokinetycznych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Program gry terapeutycznej BRAMKARZ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Funkcja ułatwiająca mocowanie stóp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Funkcja terapii przy braku jednej kończyny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Funkcja automatycznego dostosowania ilości obrotów do poziomu ćwiczenia aktywnego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Funkcja automatycznej zmiany kierunku ćwiczenia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Funkcja wykrywania aktywności pacjenta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Bieżąca kontrola symetrii terapii "BIOFEEDBACK" ( Słupki )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Bieżąca kontrola koordynacji i </w:t>
            </w:r>
            <w:proofErr w:type="spellStart"/>
            <w:r w:rsidRPr="00FE4424">
              <w:rPr>
                <w:rFonts w:cstheme="minorHAnsi"/>
                <w:sz w:val="24"/>
                <w:szCs w:val="24"/>
              </w:rPr>
              <w:t>symertii</w:t>
            </w:r>
            <w:proofErr w:type="spellEnd"/>
            <w:r w:rsidRPr="00FE4424">
              <w:rPr>
                <w:rFonts w:cstheme="minorHAnsi"/>
                <w:sz w:val="24"/>
                <w:szCs w:val="24"/>
              </w:rPr>
              <w:t xml:space="preserve"> terapii "BIOFEEDBACK" ( Droga )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Bieżąca kontrola ćwiczeń koncentracji, koordynacji ruchowej, czasu reakcji i prędkości </w:t>
            </w:r>
            <w:proofErr w:type="spellStart"/>
            <w:r w:rsidRPr="00FE4424">
              <w:rPr>
                <w:rFonts w:cstheme="minorHAnsi"/>
                <w:sz w:val="24"/>
                <w:szCs w:val="24"/>
              </w:rPr>
              <w:t>ćwiecznia</w:t>
            </w:r>
            <w:proofErr w:type="spellEnd"/>
            <w:r w:rsidRPr="00FE4424">
              <w:rPr>
                <w:rFonts w:cstheme="minorHAnsi"/>
                <w:sz w:val="24"/>
                <w:szCs w:val="24"/>
              </w:rPr>
              <w:t xml:space="preserve"> BIOFEEDBACK </w:t>
            </w:r>
          </w:p>
          <w:p w:rsidR="00320BF8" w:rsidRPr="00FE4424" w:rsidRDefault="00320BF8" w:rsidP="00320BF8">
            <w:pPr>
              <w:rPr>
                <w:rFonts w:cstheme="minorHAnsi"/>
                <w:sz w:val="24"/>
                <w:szCs w:val="24"/>
              </w:rPr>
            </w:pPr>
            <w:r w:rsidRPr="00FE4424">
              <w:rPr>
                <w:rFonts w:cstheme="minorHAnsi"/>
                <w:sz w:val="24"/>
                <w:szCs w:val="24"/>
              </w:rPr>
              <w:t xml:space="preserve">(Gra Bramkarz)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"BIOFEEDBACK'' pasywny dla pacjentów z paraplegią z informacją dotyczącą napięcia </w:t>
            </w:r>
            <w:proofErr w:type="spellStart"/>
            <w:r w:rsidRPr="00FE4424">
              <w:rPr>
                <w:rFonts w:cstheme="minorHAnsi"/>
                <w:sz w:val="24"/>
                <w:szCs w:val="24"/>
              </w:rPr>
              <w:t>mieśniowego</w:t>
            </w:r>
            <w:proofErr w:type="spellEnd"/>
            <w:r w:rsidRPr="00FE4424">
              <w:rPr>
                <w:rFonts w:cstheme="minorHAnsi"/>
                <w:sz w:val="24"/>
                <w:szCs w:val="24"/>
              </w:rPr>
              <w:t xml:space="preserve">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Bieżący pomiar ilości obrotów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Bieżący pomiar zużytej energii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Tak/Nie</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r w:rsidRPr="00FE4424">
              <w:rPr>
                <w:rFonts w:eastAsia="Lucida Sans Unicode" w:cstheme="minorHAnsi"/>
                <w:sz w:val="24"/>
                <w:szCs w:val="24"/>
                <w:lang w:eastAsia="zh-CN" w:bidi="hi-IN"/>
              </w:rPr>
              <w:t>Tak – 10 pkt</w:t>
            </w:r>
          </w:p>
          <w:p w:rsidR="00320BF8" w:rsidRPr="00FE4424" w:rsidRDefault="00320BF8" w:rsidP="00320BF8">
            <w:pPr>
              <w:widowControl w:val="0"/>
              <w:suppressAutoHyphens/>
              <w:rPr>
                <w:rFonts w:eastAsia="Lucida Sans Unicode" w:cstheme="minorHAnsi"/>
                <w:sz w:val="24"/>
                <w:szCs w:val="24"/>
                <w:lang w:eastAsia="zh-CN" w:bidi="hi-IN"/>
              </w:rPr>
            </w:pPr>
            <w:r w:rsidRPr="00FE4424">
              <w:rPr>
                <w:rFonts w:eastAsia="Lucida Sans Unicode" w:cstheme="minorHAnsi"/>
                <w:sz w:val="24"/>
                <w:szCs w:val="24"/>
                <w:lang w:eastAsia="zh-CN" w:bidi="hi-IN"/>
              </w:rPr>
              <w:t>Nie – 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Bieżący pomiar osiąganego dystansu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Bieżący pomiar czasu ćwiczenia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Ustawienie kierunku rotacji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Ustawienie czułości wykrywania </w:t>
            </w:r>
            <w:proofErr w:type="spellStart"/>
            <w:r w:rsidRPr="00FE4424">
              <w:rPr>
                <w:rFonts w:cstheme="minorHAnsi"/>
                <w:sz w:val="24"/>
                <w:szCs w:val="24"/>
              </w:rPr>
              <w:t>spastyki</w:t>
            </w:r>
            <w:proofErr w:type="spellEnd"/>
            <w:r w:rsidRPr="00FE4424">
              <w:rPr>
                <w:rFonts w:cstheme="minorHAnsi"/>
                <w:sz w:val="24"/>
                <w:szCs w:val="24"/>
              </w:rPr>
              <w:t xml:space="preserve">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Wybór programu rozluźniania </w:t>
            </w:r>
            <w:proofErr w:type="spellStart"/>
            <w:r w:rsidRPr="00FE4424">
              <w:rPr>
                <w:rFonts w:cstheme="minorHAnsi"/>
                <w:sz w:val="24"/>
                <w:szCs w:val="24"/>
              </w:rPr>
              <w:t>spastyki</w:t>
            </w:r>
            <w:proofErr w:type="spellEnd"/>
            <w:r w:rsidRPr="00FE4424">
              <w:rPr>
                <w:rFonts w:cstheme="minorHAnsi"/>
                <w:sz w:val="24"/>
                <w:szCs w:val="24"/>
              </w:rPr>
              <w:t xml:space="preserve">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Ustawienie prędkości ruchu biernego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Raportowanie wyników ćwiczenia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Wyłącznik akustyczny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Ustawienie czułości mikrofonu wyłącznika akustycznego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Wyłącznik w sterowniku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Ustawienie kontrastu i podświetlenia wyświetlacza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Sygnalizacja akustyczna przycisków i funkcji urządzenia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System automatycznego wyłączania w stanie spoczynku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Regulacja wysokości oraz pochylenia rotora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Moduł do treningu kończyn górnych z regulacją w poziomie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Regulacja kąta nachylenia dotykowego ekranu sterującego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Regulacja promienia obrotu - dwu stopniowa - 75, 110 mm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Paski mocujące stopy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Stabilizacja łydek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Kółka transportowe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Całkowicie obudowany mechanizm zamachowy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Moc silnika 240W, z możliwością ponad 20-stopniowej regulacji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Poziom hałasu do 70 </w:t>
            </w:r>
            <w:proofErr w:type="spellStart"/>
            <w:r w:rsidRPr="00FE4424">
              <w:rPr>
                <w:rFonts w:cstheme="minorHAnsi"/>
                <w:sz w:val="24"/>
                <w:szCs w:val="24"/>
              </w:rPr>
              <w:t>dB</w:t>
            </w:r>
            <w:proofErr w:type="spellEnd"/>
            <w:r w:rsidRPr="00FE4424">
              <w:rPr>
                <w:rFonts w:cstheme="minorHAnsi"/>
                <w:sz w:val="24"/>
                <w:szCs w:val="24"/>
              </w:rPr>
              <w:t xml:space="preserve">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Zasilanie 220V~, 50/60 </w:t>
            </w:r>
            <w:proofErr w:type="spellStart"/>
            <w:r w:rsidRPr="00FE4424">
              <w:rPr>
                <w:rFonts w:cstheme="minorHAnsi"/>
                <w:sz w:val="24"/>
                <w:szCs w:val="24"/>
              </w:rPr>
              <w:t>Hz</w:t>
            </w:r>
            <w:proofErr w:type="spellEnd"/>
            <w:r w:rsidRPr="00FE4424">
              <w:rPr>
                <w:rFonts w:cstheme="minorHAnsi"/>
                <w:sz w:val="24"/>
                <w:szCs w:val="24"/>
              </w:rPr>
              <w:t xml:space="preserve">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Prosta dezynfekcja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Mar>
              <w:left w:w="60" w:type="dxa"/>
            </w:tcMar>
          </w:tcPr>
          <w:p w:rsidR="00320BF8" w:rsidRPr="00FE4424" w:rsidRDefault="00320BF8" w:rsidP="00320BF8">
            <w:pPr>
              <w:rPr>
                <w:rFonts w:cstheme="minorHAnsi"/>
                <w:sz w:val="24"/>
                <w:szCs w:val="24"/>
              </w:rPr>
            </w:pPr>
            <w:r w:rsidRPr="00FE4424">
              <w:rPr>
                <w:rFonts w:cstheme="minorHAnsi"/>
                <w:sz w:val="24"/>
                <w:szCs w:val="24"/>
              </w:rPr>
              <w:t xml:space="preserve">Aparat wyposażony we wszystkie wymagane prawem zabezpieczenia </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W dniu instalacji szkolenie personelu z obsługi dostarczonych urządzeń</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W dniu instalacji szkolenie osób będących pracownikami Sekcji Aparatury Medycznej w zakresie obsługi serwisowej potwierdzone imiennymi certyfikatami do wykonywania drobnych napraw i przeglądów technicznych dostarczonych urządzeń. Ważność szkolenia – bezterminowo. W dniu instalacji dostarczenie elektronicznej instrukcji serwisowej. Udostępnienie kodów serwisowych  - jeżeli są używane i konieczne do obsługi serwisowej.</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Tak/Nie</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Tak – 10 pkt</w:t>
            </w:r>
          </w:p>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Nie – 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Instrukcja obsługi, instrukcja czyszczenia/dezynfekcji w języku polskim oraz dokumenty: deklaracja zgodności, CE  w wersji zarówno papierowej jak i elektronicznej np. na płycie CD (format PDF) dostarczana na etapie instalacji urządzenia</w:t>
            </w:r>
            <w:r w:rsidRPr="00FE4424">
              <w:rPr>
                <w:rFonts w:cstheme="minorHAnsi"/>
                <w:sz w:val="24"/>
                <w:szCs w:val="24"/>
              </w:rPr>
              <w:tab/>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 okresie gwarancyjnym przeglądy techniczne urządzenia w liczbie,  zakresie i terminie wynikającym z daty uruchomienia zalecanym przez producenta dokonywane w siedzibie Zamawiającego w cenie oferty. Elementy zużywalne wykorzystane do przeglądu technicznego w cenie oferty. Przeglądy powinny być wykonywane z inicjatywy Wykonawcy, ale z uwzględnieniem ustaleń z Zamawiającym.  Obowiązkowy przegląd w ostatnim miesiącu gwarancji. Przesunięcie któregoś z przeglądu z winy Wykonawcy wydłuża okres gwarancji o okres przesunięcia.  W przypadku braku konieczności wykonywania przeglądów technicznych przez Producenta Wykonawca wskaże stosowny zapis w dokumentach producenta urządzenia.</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Liczba przeglądów gwarancyjnych łącznie z przeglądem w ostatnim miesiącu gwarancji</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 podać ilość przeglądów</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Wykaz upoważnionych serwisów urządzenia na teranie Polski zawierający nazwę firmy, adres, telefon, fax. Nazwisko i imię osoby do kontaktu/serwisu (wskazać w materiałach , instrukcji obsługi kto jest upoważniony do wykonywania napraw serwisowych)</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2578B4" w:rsidRPr="00FE4424" w:rsidTr="00320BF8">
        <w:trPr>
          <w:cantSplit/>
          <w:trHeight w:val="112"/>
          <w:jc w:val="center"/>
        </w:trPr>
        <w:tc>
          <w:tcPr>
            <w:tcW w:w="721" w:type="dxa"/>
            <w:shd w:val="clear" w:color="auto" w:fill="auto"/>
            <w:tcMar>
              <w:left w:w="60" w:type="dxa"/>
            </w:tcMar>
          </w:tcPr>
          <w:p w:rsidR="002578B4" w:rsidRPr="00FE4424" w:rsidRDefault="002578B4" w:rsidP="002578B4">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2578B4" w:rsidRPr="00FE4424" w:rsidRDefault="002578B4" w:rsidP="002578B4">
            <w:pPr>
              <w:spacing w:after="0" w:line="240" w:lineRule="auto"/>
              <w:rPr>
                <w:rFonts w:eastAsiaTheme="minorEastAsia" w:cstheme="minorHAnsi"/>
                <w:sz w:val="24"/>
                <w:szCs w:val="24"/>
              </w:rPr>
            </w:pPr>
            <w:r w:rsidRPr="00FE4424">
              <w:rPr>
                <w:rFonts w:eastAsiaTheme="minorEastAsia" w:cstheme="minorHAnsi"/>
                <w:sz w:val="24"/>
                <w:szCs w:val="24"/>
              </w:rPr>
              <w:t xml:space="preserve">Zapewnienie dostępu do części do napraw, serwisu pogwarancyjnego min. 10 lat od daty  odbioru przedmiotu zamówienia . </w:t>
            </w:r>
          </w:p>
          <w:p w:rsidR="002578B4" w:rsidRPr="00FE4424" w:rsidRDefault="002578B4" w:rsidP="002578B4">
            <w:pPr>
              <w:spacing w:after="0" w:line="240" w:lineRule="auto"/>
              <w:rPr>
                <w:rFonts w:eastAsiaTheme="minorEastAsia" w:cstheme="minorHAnsi"/>
                <w:sz w:val="24"/>
                <w:szCs w:val="24"/>
              </w:rPr>
            </w:pPr>
          </w:p>
        </w:tc>
        <w:tc>
          <w:tcPr>
            <w:tcW w:w="1489" w:type="dxa"/>
            <w:tcMar>
              <w:left w:w="60" w:type="dxa"/>
            </w:tcMar>
          </w:tcPr>
          <w:p w:rsidR="002578B4" w:rsidRPr="00FE4424" w:rsidRDefault="002578B4" w:rsidP="002578B4">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c>
          <w:tcPr>
            <w:tcW w:w="1373" w:type="dxa"/>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Gwarancja min. 36 miesięcy</w:t>
            </w:r>
          </w:p>
        </w:tc>
        <w:tc>
          <w:tcPr>
            <w:tcW w:w="1489" w:type="dxa"/>
            <w:tcMar>
              <w:left w:w="60" w:type="dxa"/>
            </w:tcMar>
          </w:tcPr>
          <w:p w:rsidR="00320BF8" w:rsidRPr="00FE4424" w:rsidRDefault="00320BF8" w:rsidP="00320BF8">
            <w:pPr>
              <w:jc w:val="center"/>
              <w:rPr>
                <w:rFonts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spacing w:after="0" w:line="240" w:lineRule="auto"/>
              <w:jc w:val="center"/>
              <w:rPr>
                <w:rFonts w:eastAsiaTheme="minorEastAsia" w:cstheme="minorHAnsi"/>
                <w:sz w:val="24"/>
                <w:szCs w:val="24"/>
              </w:rPr>
            </w:pPr>
          </w:p>
        </w:tc>
        <w:tc>
          <w:tcPr>
            <w:tcW w:w="1373" w:type="dxa"/>
          </w:tcPr>
          <w:p w:rsidR="00320BF8" w:rsidRPr="00FE4424" w:rsidRDefault="00320BF8" w:rsidP="00320BF8">
            <w:pPr>
              <w:spacing w:after="0" w:line="240" w:lineRule="auto"/>
              <w:jc w:val="center"/>
              <w:rPr>
                <w:rFonts w:eastAsiaTheme="minorEastAsia" w:cstheme="minorHAnsi"/>
                <w:sz w:val="24"/>
                <w:szCs w:val="24"/>
              </w:rPr>
            </w:pPr>
          </w:p>
        </w:tc>
        <w:tc>
          <w:tcPr>
            <w:tcW w:w="1821"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36 miesięcy-0 pkt.</w:t>
            </w:r>
          </w:p>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48 miesięcy–10pkt</w:t>
            </w:r>
          </w:p>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60 miesięcy–20pkt</w:t>
            </w:r>
          </w:p>
        </w:tc>
      </w:tr>
    </w:tbl>
    <w:p w:rsidR="00320BF8" w:rsidRPr="00FE4424" w:rsidRDefault="00320BF8" w:rsidP="00320BF8">
      <w:pPr>
        <w:rPr>
          <w:rFonts w:cstheme="minorHAnsi"/>
          <w:sz w:val="24"/>
          <w:szCs w:val="24"/>
        </w:rPr>
      </w:pPr>
    </w:p>
    <w:p w:rsidR="00320BF8" w:rsidRPr="00FE4424" w:rsidRDefault="00320BF8" w:rsidP="00320BF8">
      <w:pPr>
        <w:rPr>
          <w:rFonts w:cstheme="minorHAnsi"/>
          <w:sz w:val="24"/>
          <w:szCs w:val="24"/>
        </w:rPr>
      </w:pPr>
    </w:p>
    <w:p w:rsidR="00320BF8" w:rsidRPr="00FE4424" w:rsidRDefault="002C5F1E" w:rsidP="00320BF8">
      <w:pPr>
        <w:pStyle w:val="Nagwek1"/>
        <w:numPr>
          <w:ilvl w:val="0"/>
          <w:numId w:val="0"/>
        </w:numPr>
        <w:rPr>
          <w:rFonts w:asciiTheme="minorHAnsi" w:hAnsiTheme="minorHAnsi" w:cstheme="minorHAnsi"/>
          <w:sz w:val="24"/>
        </w:rPr>
      </w:pPr>
      <w:bookmarkStart w:id="17" w:name="_Toc221092134"/>
      <w:bookmarkStart w:id="18" w:name="_Toc225839459"/>
      <w:r w:rsidRPr="00FE4424">
        <w:rPr>
          <w:rFonts w:asciiTheme="minorHAnsi" w:hAnsiTheme="minorHAnsi" w:cstheme="minorHAnsi"/>
          <w:noProof/>
          <w:sz w:val="24"/>
        </w:rPr>
        <w:t xml:space="preserve">Pakiet </w:t>
      </w:r>
      <w:r w:rsidR="00320BF8" w:rsidRPr="00FE4424">
        <w:rPr>
          <w:rFonts w:asciiTheme="minorHAnsi" w:hAnsiTheme="minorHAnsi" w:cstheme="minorHAnsi"/>
          <w:noProof/>
          <w:sz w:val="24"/>
        </w:rPr>
        <w:t>8.  Aparat do hemoperfuzji  -szt. 1</w:t>
      </w:r>
      <w:bookmarkEnd w:id="17"/>
      <w:bookmarkEnd w:id="18"/>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Pełna nazwa urządzenia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Producent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Kraj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Rok produkcji: 2025/2026</w:t>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p>
    <w:tbl>
      <w:tblPr>
        <w:tblW w:w="11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5" w:type="dxa"/>
        </w:tblCellMar>
        <w:tblLook w:val="0000" w:firstRow="0" w:lastRow="0" w:firstColumn="0" w:lastColumn="0" w:noHBand="0" w:noVBand="0"/>
      </w:tblPr>
      <w:tblGrid>
        <w:gridCol w:w="721"/>
        <w:gridCol w:w="4382"/>
        <w:gridCol w:w="1489"/>
        <w:gridCol w:w="1346"/>
        <w:gridCol w:w="1373"/>
        <w:gridCol w:w="1821"/>
      </w:tblGrid>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widowControl w:val="0"/>
              <w:suppressAutoHyphens/>
              <w:spacing w:after="0" w:line="240" w:lineRule="auto"/>
              <w:ind w:left="-49"/>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ind w:left="-49"/>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L.p.</w:t>
            </w:r>
          </w:p>
        </w:tc>
        <w:tc>
          <w:tcPr>
            <w:tcW w:w="4382"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Nazwa i opis parametru lub funkcji urządzenia</w:t>
            </w:r>
          </w:p>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p>
        </w:tc>
        <w:tc>
          <w:tcPr>
            <w:tcW w:w="1489"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wymagany</w:t>
            </w:r>
          </w:p>
        </w:tc>
        <w:tc>
          <w:tcPr>
            <w:tcW w:w="1346"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oferowany</w:t>
            </w:r>
          </w:p>
        </w:tc>
        <w:tc>
          <w:tcPr>
            <w:tcW w:w="1373" w:type="dxa"/>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 xml:space="preserve">Nr strony w mat. </w:t>
            </w:r>
            <w:proofErr w:type="spellStart"/>
            <w:r w:rsidRPr="00FE4424">
              <w:rPr>
                <w:rFonts w:eastAsia="Lucida Sans Unicode" w:cstheme="minorHAnsi"/>
                <w:b/>
                <w:sz w:val="24"/>
                <w:szCs w:val="24"/>
                <w:lang w:eastAsia="zh-CN" w:bidi="hi-IN"/>
              </w:rPr>
              <w:t>infor</w:t>
            </w:r>
            <w:proofErr w:type="spellEnd"/>
            <w:r w:rsidRPr="00FE4424">
              <w:rPr>
                <w:rFonts w:eastAsia="Lucida Sans Unicode" w:cstheme="minorHAnsi"/>
                <w:b/>
                <w:sz w:val="24"/>
                <w:szCs w:val="24"/>
                <w:lang w:eastAsia="zh-CN" w:bidi="hi-IN"/>
              </w:rPr>
              <w:t>. z potwierdzeniem parametru</w:t>
            </w:r>
          </w:p>
        </w:tc>
        <w:tc>
          <w:tcPr>
            <w:tcW w:w="1821"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Ocena</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 xml:space="preserve">Urządzenie fabrycznie nowe, </w:t>
            </w:r>
            <w:proofErr w:type="spellStart"/>
            <w:r w:rsidRPr="00FE4424">
              <w:rPr>
                <w:rFonts w:eastAsiaTheme="minorEastAsia" w:cstheme="minorHAnsi"/>
                <w:sz w:val="24"/>
                <w:szCs w:val="24"/>
              </w:rPr>
              <w:t>nierekondycjonowane</w:t>
            </w:r>
            <w:proofErr w:type="spellEnd"/>
          </w:p>
        </w:tc>
        <w:tc>
          <w:tcPr>
            <w:tcW w:w="1489" w:type="dxa"/>
            <w:shd w:val="clear" w:color="auto" w:fill="auto"/>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spacing w:line="240" w:lineRule="auto"/>
              <w:rPr>
                <w:rFonts w:cstheme="minorHAnsi"/>
                <w:sz w:val="24"/>
                <w:szCs w:val="24"/>
              </w:rPr>
            </w:pPr>
            <w:r w:rsidRPr="00FE4424">
              <w:rPr>
                <w:rFonts w:cstheme="minorHAnsi"/>
                <w:spacing w:val="-5"/>
                <w:sz w:val="24"/>
                <w:szCs w:val="24"/>
              </w:rPr>
              <w:t>Model / typ</w:t>
            </w:r>
          </w:p>
        </w:tc>
        <w:tc>
          <w:tcPr>
            <w:tcW w:w="1489"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Tak</w:t>
            </w:r>
          </w:p>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(podać)</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Zintegrowany zasilacz (110W, 220-240V 50-60Hz)</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Ekran dotykowy min 5”</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 xml:space="preserve">Wartość graniczna – 0 pkt, powyżej 5” – 10 pkt  </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Pompa krwi przepływ 5-500 ml/min</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Przetworniki liniowe ciśnienia</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Automatyczna ultradźwiękowa pułapka pęcherzyków</w:t>
            </w:r>
          </w:p>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żylnych</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Zintegrowana pompa heparyny</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strzykawka 30ml, przepływ od 0.2ml, czułość 0.1ml,</w:t>
            </w:r>
          </w:p>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dokładność 0.2 ml lub 2%</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Uchwyt na adsorber</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Wymiary urządzenia: wysokość – max: 370 mm, szerokość 380 mm, głębokość 300 mm</w:t>
            </w:r>
          </w:p>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W zestawie oprócz urządzenia:</w:t>
            </w:r>
          </w:p>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- 1xWózek ze słupkiem do kroplówek - wymiary - 440x500mm,max 40kg</w:t>
            </w:r>
          </w:p>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- 1x Podgrzewacz krwi</w:t>
            </w:r>
          </w:p>
        </w:tc>
        <w:tc>
          <w:tcPr>
            <w:tcW w:w="1489" w:type="dxa"/>
            <w:tcMar>
              <w:left w:w="60" w:type="dxa"/>
            </w:tcMar>
          </w:tcPr>
          <w:p w:rsidR="00320BF8" w:rsidRPr="00FE4424" w:rsidRDefault="00320BF8" w:rsidP="00320BF8">
            <w:pPr>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bottom"/>
          </w:tcPr>
          <w:p w:rsidR="00320BF8" w:rsidRPr="00FE4424" w:rsidRDefault="00320BF8" w:rsidP="00320BF8">
            <w:pPr>
              <w:spacing w:after="0" w:line="240" w:lineRule="auto"/>
              <w:rPr>
                <w:rFonts w:cstheme="minorHAnsi"/>
                <w:color w:val="000000"/>
                <w:sz w:val="24"/>
                <w:szCs w:val="24"/>
              </w:rPr>
            </w:pPr>
            <w:r w:rsidRPr="00FE4424">
              <w:rPr>
                <w:rFonts w:cstheme="minorHAnsi"/>
                <w:color w:val="000000"/>
                <w:sz w:val="24"/>
                <w:szCs w:val="24"/>
              </w:rPr>
              <w:t xml:space="preserve">Kompatybilność z systemem do terapii pozaustrojowych zamawiającego: Quantum </w:t>
            </w:r>
            <w:proofErr w:type="spellStart"/>
            <w:r w:rsidRPr="00FE4424">
              <w:rPr>
                <w:rFonts w:cstheme="minorHAnsi"/>
                <w:color w:val="000000"/>
                <w:sz w:val="24"/>
                <w:szCs w:val="24"/>
              </w:rPr>
              <w:t>Perfusion</w:t>
            </w:r>
            <w:proofErr w:type="spellEnd"/>
            <w:r w:rsidRPr="00FE4424">
              <w:rPr>
                <w:rFonts w:cstheme="minorHAnsi"/>
                <w:color w:val="000000"/>
                <w:sz w:val="24"/>
                <w:szCs w:val="24"/>
              </w:rPr>
              <w:t xml:space="preserve"> System</w:t>
            </w:r>
          </w:p>
        </w:tc>
        <w:tc>
          <w:tcPr>
            <w:tcW w:w="1489" w:type="dxa"/>
            <w:tcMar>
              <w:left w:w="60" w:type="dxa"/>
            </w:tcMar>
          </w:tcPr>
          <w:p w:rsidR="00320BF8" w:rsidRPr="00FE4424" w:rsidRDefault="00320BF8" w:rsidP="00320BF8">
            <w:pPr>
              <w:widowControl w:val="0"/>
              <w:snapToGrid w:val="0"/>
              <w:spacing w:after="0" w:line="240" w:lineRule="auto"/>
              <w:jc w:val="center"/>
              <w:rPr>
                <w:rFonts w:cstheme="minorHAnsi"/>
                <w:kern w:val="2"/>
                <w:sz w:val="24"/>
                <w:szCs w:val="24"/>
                <w14:ligatures w14:val="standardContextual"/>
              </w:rPr>
            </w:pPr>
            <w:r w:rsidRPr="00FE4424">
              <w:rPr>
                <w:rFonts w:cstheme="minorHAnsi"/>
                <w:kern w:val="2"/>
                <w:sz w:val="24"/>
                <w:szCs w:val="24"/>
                <w14:ligatures w14:val="standardContextual"/>
              </w:rPr>
              <w:t>Tak/Nie</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Tak – 10 pkt</w:t>
            </w:r>
          </w:p>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Nie – 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W dniu instalacji szkolenie personelu z obsługi dostarczonych urządzeń</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W dniu instalacji szkolenie osób będących pracownikami Sekcji Aparatury Medycznej w zakresie obsługi serwisowej potwierdzone imiennymi certyfikatami do wykonywania drobnych napraw i przeglądów technicznych dostarczonych urządzeń. Ważność szkolenia – bezterminowo. W dniu instalacji dostarczenie elektronicznej instrukcji serwisowej. Udostępnienie kodów serwisowych  - jeżeli są używane i konieczne do obsługi serwisowej.</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Tak/Nie</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Tak – 10 pkt</w:t>
            </w:r>
          </w:p>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Nie – 0 pkt</w:t>
            </w: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Instrukcja obsługi, instrukcja czyszczenia/dezynfekcji w języku polskim oraz dokumenty: deklaracja zgodności, CE  w wersji zarówno papierowej jak i elektronicznej np. na płycie CD (format PDF) dostarczana na etapie instalacji urządzenia</w:t>
            </w:r>
            <w:r w:rsidRPr="00FE4424">
              <w:rPr>
                <w:rFonts w:cstheme="minorHAnsi"/>
                <w:sz w:val="24"/>
                <w:szCs w:val="24"/>
              </w:rPr>
              <w:tab/>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 okresie gwarancyjnym przeglądy techniczne urządzenia w liczbie,  zakresie i terminie wynikającym z daty uruchomienia zalecanym przez producenta dokonywane w siedzibie Zamawiającego w cenie oferty. Elementy zużywalne wykorzystane do przeglądu technicznego w cenie oferty. Przeglądy powinny być wykonywane z inicjatywy Wykonawcy, ale z uwzględnieniem ustaleń z Zamawiającym.  Obowiązkowy przegląd w ostatnim miesiącu gwarancji. Przesunięcie któregoś z przeglądu z winy Wykonawcy wydłuża okres gwarancji o okres przesunięcia.  W przypadku braku konieczności wykonywania przeglądów technicznych przez Producenta Wykonawca wskaże stosowny zapis w dokumentach producenta urządzenia.</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Liczba przeglądów gwarancyjnych łącznie z przeglądem w ostatnim miesiącu gwarancji</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 podać ilość przeglądów</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Wykaz upoważnionych serwisów urządzenia na teranie Polski zawierający nazwę firmy, adres, telefon, fax. Nazwisko i imię osoby do kontaktu/serwisu (wskazać w materiałach , instrukcji obsługi kto jest upoważniony do wykonywania napraw serwisowych)</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2578B4" w:rsidRPr="00FE4424" w:rsidTr="00320BF8">
        <w:trPr>
          <w:cantSplit/>
          <w:trHeight w:val="112"/>
          <w:jc w:val="center"/>
        </w:trPr>
        <w:tc>
          <w:tcPr>
            <w:tcW w:w="721" w:type="dxa"/>
            <w:shd w:val="clear" w:color="auto" w:fill="auto"/>
            <w:tcMar>
              <w:left w:w="60" w:type="dxa"/>
            </w:tcMar>
          </w:tcPr>
          <w:p w:rsidR="002578B4" w:rsidRPr="00FE4424" w:rsidRDefault="002578B4" w:rsidP="002578B4">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2578B4" w:rsidRPr="00FE4424" w:rsidRDefault="002578B4" w:rsidP="002578B4">
            <w:pPr>
              <w:spacing w:after="0" w:line="240" w:lineRule="auto"/>
              <w:rPr>
                <w:rFonts w:eastAsiaTheme="minorEastAsia" w:cstheme="minorHAnsi"/>
                <w:sz w:val="24"/>
                <w:szCs w:val="24"/>
              </w:rPr>
            </w:pPr>
            <w:r w:rsidRPr="00FE4424">
              <w:rPr>
                <w:rFonts w:eastAsiaTheme="minorEastAsia" w:cstheme="minorHAnsi"/>
                <w:sz w:val="24"/>
                <w:szCs w:val="24"/>
              </w:rPr>
              <w:t xml:space="preserve">Zapewnienie dostępu do części do napraw, serwisu pogwarancyjnego min. 10 lat od daty  odbioru przedmiotu zamówienia . </w:t>
            </w:r>
          </w:p>
          <w:p w:rsidR="002578B4" w:rsidRPr="00FE4424" w:rsidRDefault="002578B4" w:rsidP="002578B4">
            <w:pPr>
              <w:spacing w:after="0" w:line="240" w:lineRule="auto"/>
              <w:rPr>
                <w:rFonts w:eastAsiaTheme="minorEastAsia" w:cstheme="minorHAnsi"/>
                <w:sz w:val="24"/>
                <w:szCs w:val="24"/>
              </w:rPr>
            </w:pPr>
          </w:p>
        </w:tc>
        <w:tc>
          <w:tcPr>
            <w:tcW w:w="1489" w:type="dxa"/>
            <w:tcMar>
              <w:left w:w="60" w:type="dxa"/>
            </w:tcMar>
          </w:tcPr>
          <w:p w:rsidR="002578B4" w:rsidRPr="00FE4424" w:rsidRDefault="002578B4" w:rsidP="002578B4">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c>
          <w:tcPr>
            <w:tcW w:w="1373" w:type="dxa"/>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c>
          <w:tcPr>
            <w:tcW w:w="1821" w:type="dxa"/>
            <w:shd w:val="clear" w:color="auto" w:fill="auto"/>
            <w:tcMar>
              <w:left w:w="60" w:type="dxa"/>
            </w:tcMar>
            <w:vAlign w:val="center"/>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r>
      <w:tr w:rsidR="00320BF8" w:rsidRPr="00FE4424" w:rsidTr="00320BF8">
        <w:trPr>
          <w:cantSplit/>
          <w:trHeight w:val="112"/>
          <w:jc w:val="center"/>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Gwarancja min. 36 miesięcy</w:t>
            </w:r>
          </w:p>
        </w:tc>
        <w:tc>
          <w:tcPr>
            <w:tcW w:w="1489" w:type="dxa"/>
            <w:tcMar>
              <w:left w:w="60" w:type="dxa"/>
            </w:tcMar>
          </w:tcPr>
          <w:p w:rsidR="00320BF8" w:rsidRPr="00FE4424" w:rsidRDefault="00320BF8" w:rsidP="00320BF8">
            <w:pPr>
              <w:jc w:val="center"/>
              <w:rPr>
                <w:rFonts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spacing w:after="0" w:line="240" w:lineRule="auto"/>
              <w:jc w:val="center"/>
              <w:rPr>
                <w:rFonts w:eastAsiaTheme="minorEastAsia" w:cstheme="minorHAnsi"/>
                <w:sz w:val="24"/>
                <w:szCs w:val="24"/>
              </w:rPr>
            </w:pPr>
          </w:p>
        </w:tc>
        <w:tc>
          <w:tcPr>
            <w:tcW w:w="1373" w:type="dxa"/>
          </w:tcPr>
          <w:p w:rsidR="00320BF8" w:rsidRPr="00FE4424" w:rsidRDefault="00320BF8" w:rsidP="00320BF8">
            <w:pPr>
              <w:spacing w:after="0" w:line="240" w:lineRule="auto"/>
              <w:jc w:val="center"/>
              <w:rPr>
                <w:rFonts w:eastAsiaTheme="minorEastAsia" w:cstheme="minorHAnsi"/>
                <w:sz w:val="24"/>
                <w:szCs w:val="24"/>
              </w:rPr>
            </w:pPr>
          </w:p>
        </w:tc>
        <w:tc>
          <w:tcPr>
            <w:tcW w:w="1821"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36 miesięcy-0 pkt.</w:t>
            </w:r>
          </w:p>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48 miesięcy–10pkt</w:t>
            </w:r>
          </w:p>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60 miesięcy–20pkt</w:t>
            </w:r>
          </w:p>
        </w:tc>
      </w:tr>
    </w:tbl>
    <w:p w:rsidR="00320BF8" w:rsidRPr="00FE4424" w:rsidRDefault="00320BF8" w:rsidP="00320BF8">
      <w:pPr>
        <w:rPr>
          <w:rFonts w:cstheme="minorHAnsi"/>
          <w:sz w:val="24"/>
          <w:szCs w:val="24"/>
        </w:rPr>
      </w:pPr>
    </w:p>
    <w:p w:rsidR="00320BF8" w:rsidRPr="00FE4424" w:rsidRDefault="00320BF8" w:rsidP="00320BF8">
      <w:pPr>
        <w:rPr>
          <w:rFonts w:cstheme="minorHAnsi"/>
          <w:sz w:val="24"/>
          <w:szCs w:val="24"/>
        </w:rPr>
      </w:pPr>
    </w:p>
    <w:p w:rsidR="00320BF8" w:rsidRPr="00FE4424" w:rsidRDefault="00320BF8" w:rsidP="00320BF8">
      <w:pPr>
        <w:pStyle w:val="Nagwek1"/>
        <w:numPr>
          <w:ilvl w:val="0"/>
          <w:numId w:val="0"/>
        </w:numPr>
        <w:rPr>
          <w:rFonts w:asciiTheme="minorHAnsi" w:hAnsiTheme="minorHAnsi" w:cstheme="minorHAnsi"/>
          <w:sz w:val="24"/>
        </w:rPr>
      </w:pPr>
      <w:r w:rsidRPr="00FE4424">
        <w:rPr>
          <w:rFonts w:asciiTheme="minorHAnsi" w:hAnsiTheme="minorHAnsi" w:cstheme="minorHAnsi"/>
          <w:sz w:val="24"/>
        </w:rPr>
        <w:br w:type="page"/>
      </w:r>
      <w:bookmarkStart w:id="19" w:name="_Toc221092142"/>
      <w:bookmarkStart w:id="20" w:name="_Toc225839460"/>
      <w:r w:rsidR="002C5F1E" w:rsidRPr="00FE4424">
        <w:rPr>
          <w:rFonts w:asciiTheme="minorHAnsi" w:hAnsiTheme="minorHAnsi" w:cstheme="minorHAnsi"/>
          <w:noProof/>
          <w:sz w:val="24"/>
        </w:rPr>
        <w:lastRenderedPageBreak/>
        <w:t>Pakiet 9</w:t>
      </w:r>
      <w:r w:rsidRPr="00FE4424">
        <w:rPr>
          <w:rFonts w:asciiTheme="minorHAnsi" w:hAnsiTheme="minorHAnsi" w:cstheme="minorHAnsi"/>
          <w:noProof/>
          <w:sz w:val="24"/>
        </w:rPr>
        <w:t>.  Telemetria  -szt. 1</w:t>
      </w:r>
      <w:bookmarkEnd w:id="19"/>
      <w:bookmarkEnd w:id="20"/>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Pełna nazwa urządzenia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Producent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 xml:space="preserve">Kraj </w:t>
      </w:r>
      <w:r w:rsidRPr="00FE4424">
        <w:rPr>
          <w:rFonts w:eastAsia="Times New Roman" w:cstheme="minorHAnsi"/>
          <w:iCs/>
          <w:spacing w:val="13"/>
          <w:sz w:val="24"/>
          <w:szCs w:val="24"/>
        </w:rPr>
        <w:tab/>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r w:rsidRPr="00FE4424">
        <w:rPr>
          <w:rFonts w:eastAsia="Times New Roman" w:cstheme="minorHAnsi"/>
          <w:iCs/>
          <w:spacing w:val="13"/>
          <w:sz w:val="24"/>
          <w:szCs w:val="24"/>
        </w:rPr>
        <w:t>Rok produkcji: 2025/2026</w:t>
      </w:r>
    </w:p>
    <w:p w:rsidR="00320BF8" w:rsidRPr="00FE4424" w:rsidRDefault="00320BF8" w:rsidP="00320BF8">
      <w:pPr>
        <w:tabs>
          <w:tab w:val="left" w:leader="dot" w:pos="8505"/>
        </w:tabs>
        <w:spacing w:after="0" w:line="240" w:lineRule="auto"/>
        <w:rPr>
          <w:rFonts w:eastAsia="Times New Roman" w:cstheme="minorHAnsi"/>
          <w:iCs/>
          <w:spacing w:val="13"/>
          <w:sz w:val="24"/>
          <w:szCs w:val="24"/>
        </w:rPr>
      </w:pP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5" w:type="dxa"/>
        </w:tblCellMar>
        <w:tblLook w:val="0000" w:firstRow="0" w:lastRow="0" w:firstColumn="0" w:lastColumn="0" w:noHBand="0" w:noVBand="0"/>
      </w:tblPr>
      <w:tblGrid>
        <w:gridCol w:w="721"/>
        <w:gridCol w:w="4382"/>
        <w:gridCol w:w="1489"/>
        <w:gridCol w:w="1346"/>
        <w:gridCol w:w="1373"/>
        <w:gridCol w:w="1463"/>
      </w:tblGrid>
      <w:tr w:rsidR="00320BF8" w:rsidRPr="00FE4424" w:rsidTr="009B3951">
        <w:trPr>
          <w:cantSplit/>
          <w:trHeight w:val="112"/>
        </w:trPr>
        <w:tc>
          <w:tcPr>
            <w:tcW w:w="721" w:type="dxa"/>
            <w:shd w:val="clear" w:color="auto" w:fill="auto"/>
            <w:tcMar>
              <w:left w:w="60" w:type="dxa"/>
            </w:tcMar>
          </w:tcPr>
          <w:p w:rsidR="00320BF8" w:rsidRPr="00FE4424" w:rsidRDefault="00320BF8" w:rsidP="00320BF8">
            <w:pPr>
              <w:widowControl w:val="0"/>
              <w:suppressAutoHyphens/>
              <w:spacing w:after="0" w:line="240" w:lineRule="auto"/>
              <w:ind w:left="-49"/>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ind w:left="-49"/>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L.p.</w:t>
            </w:r>
          </w:p>
        </w:tc>
        <w:tc>
          <w:tcPr>
            <w:tcW w:w="4382"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p>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Nazwa i opis parametru lub funkcji urządzenia</w:t>
            </w:r>
          </w:p>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p>
        </w:tc>
        <w:tc>
          <w:tcPr>
            <w:tcW w:w="1489"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wymagany</w:t>
            </w:r>
          </w:p>
        </w:tc>
        <w:tc>
          <w:tcPr>
            <w:tcW w:w="1346"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Parametr oferowany</w:t>
            </w:r>
          </w:p>
        </w:tc>
        <w:tc>
          <w:tcPr>
            <w:tcW w:w="1373" w:type="dxa"/>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 xml:space="preserve">Nr strony w mat. </w:t>
            </w:r>
            <w:proofErr w:type="spellStart"/>
            <w:r w:rsidRPr="00FE4424">
              <w:rPr>
                <w:rFonts w:eastAsia="Lucida Sans Unicode" w:cstheme="minorHAnsi"/>
                <w:b/>
                <w:sz w:val="24"/>
                <w:szCs w:val="24"/>
                <w:lang w:eastAsia="zh-CN" w:bidi="hi-IN"/>
              </w:rPr>
              <w:t>infor</w:t>
            </w:r>
            <w:proofErr w:type="spellEnd"/>
            <w:r w:rsidRPr="00FE4424">
              <w:rPr>
                <w:rFonts w:eastAsia="Lucida Sans Unicode" w:cstheme="minorHAnsi"/>
                <w:b/>
                <w:sz w:val="24"/>
                <w:szCs w:val="24"/>
                <w:lang w:eastAsia="zh-CN" w:bidi="hi-IN"/>
              </w:rPr>
              <w:t>. z potwierdzeniem parametru</w:t>
            </w:r>
          </w:p>
        </w:tc>
        <w:tc>
          <w:tcPr>
            <w:tcW w:w="1463" w:type="dxa"/>
            <w:shd w:val="clear" w:color="auto" w:fill="auto"/>
            <w:tcMar>
              <w:left w:w="60" w:type="dxa"/>
            </w:tcMar>
          </w:tcPr>
          <w:p w:rsidR="00320BF8" w:rsidRPr="00FE4424" w:rsidRDefault="00320BF8" w:rsidP="00320BF8">
            <w:pPr>
              <w:widowControl w:val="0"/>
              <w:suppressAutoHyphens/>
              <w:spacing w:after="0" w:line="240" w:lineRule="auto"/>
              <w:jc w:val="center"/>
              <w:rPr>
                <w:rFonts w:eastAsia="Lucida Sans Unicode" w:cstheme="minorHAnsi"/>
                <w:b/>
                <w:sz w:val="24"/>
                <w:szCs w:val="24"/>
                <w:lang w:eastAsia="zh-CN" w:bidi="hi-IN"/>
              </w:rPr>
            </w:pPr>
            <w:r w:rsidRPr="00FE4424">
              <w:rPr>
                <w:rFonts w:eastAsia="Lucida Sans Unicode" w:cstheme="minorHAnsi"/>
                <w:b/>
                <w:sz w:val="24"/>
                <w:szCs w:val="24"/>
                <w:lang w:eastAsia="zh-CN" w:bidi="hi-IN"/>
              </w:rPr>
              <w:t>Ocena</w:t>
            </w: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 xml:space="preserve">Urządzenie fabrycznie nowe, </w:t>
            </w:r>
            <w:proofErr w:type="spellStart"/>
            <w:r w:rsidRPr="00FE4424">
              <w:rPr>
                <w:rFonts w:eastAsiaTheme="minorEastAsia" w:cstheme="minorHAnsi"/>
                <w:sz w:val="24"/>
                <w:szCs w:val="24"/>
              </w:rPr>
              <w:t>nierekondycjonowane</w:t>
            </w:r>
            <w:proofErr w:type="spellEnd"/>
          </w:p>
        </w:tc>
        <w:tc>
          <w:tcPr>
            <w:tcW w:w="1489" w:type="dxa"/>
            <w:shd w:val="clear" w:color="auto" w:fill="auto"/>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spacing w:line="240" w:lineRule="auto"/>
              <w:rPr>
                <w:rFonts w:cstheme="minorHAnsi"/>
                <w:sz w:val="24"/>
                <w:szCs w:val="24"/>
              </w:rPr>
            </w:pPr>
            <w:r w:rsidRPr="00FE4424">
              <w:rPr>
                <w:rFonts w:cstheme="minorHAnsi"/>
                <w:spacing w:val="-5"/>
                <w:sz w:val="24"/>
                <w:szCs w:val="24"/>
              </w:rPr>
              <w:t>Model / typ</w:t>
            </w:r>
          </w:p>
        </w:tc>
        <w:tc>
          <w:tcPr>
            <w:tcW w:w="1489" w:type="dxa"/>
            <w:tcBorders>
              <w:top w:val="nil"/>
              <w:left w:val="single" w:sz="4" w:space="0" w:color="auto"/>
              <w:bottom w:val="single" w:sz="4" w:space="0" w:color="auto"/>
              <w:right w:val="single" w:sz="4" w:space="0" w:color="auto"/>
            </w:tcBorders>
            <w:tcMar>
              <w:left w:w="60" w:type="dxa"/>
            </w:tcMar>
            <w:vAlign w:val="center"/>
          </w:tcPr>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TAK</w:t>
            </w:r>
          </w:p>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(podać)</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Oprogramowanie, menu i komunikaty ekranowe monitora w języku polskim. </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Konieczność połączenia zaoferowanego systemu telemetrycznego z serwerem PIC </w:t>
            </w:r>
            <w:proofErr w:type="spellStart"/>
            <w:r w:rsidRPr="00FE4424">
              <w:rPr>
                <w:rFonts w:eastAsia="Times New Roman" w:cstheme="minorHAnsi"/>
                <w:color w:val="000000"/>
                <w:sz w:val="24"/>
                <w:szCs w:val="24"/>
                <w:lang w:eastAsia="pl-PL"/>
              </w:rPr>
              <w:t>iX</w:t>
            </w:r>
            <w:proofErr w:type="spellEnd"/>
            <w:r w:rsidRPr="00FE4424">
              <w:rPr>
                <w:rFonts w:eastAsia="Times New Roman" w:cstheme="minorHAnsi"/>
                <w:color w:val="000000"/>
                <w:sz w:val="24"/>
                <w:szCs w:val="24"/>
                <w:lang w:eastAsia="pl-PL"/>
              </w:rPr>
              <w:t xml:space="preserve"> </w:t>
            </w:r>
            <w:proofErr w:type="spellStart"/>
            <w:r w:rsidRPr="00FE4424">
              <w:rPr>
                <w:rFonts w:eastAsia="Times New Roman" w:cstheme="minorHAnsi"/>
                <w:color w:val="000000"/>
                <w:sz w:val="24"/>
                <w:szCs w:val="24"/>
                <w:lang w:eastAsia="pl-PL"/>
              </w:rPr>
              <w:t>prod</w:t>
            </w:r>
            <w:proofErr w:type="spellEnd"/>
            <w:r w:rsidRPr="00FE4424">
              <w:rPr>
                <w:rFonts w:eastAsia="Times New Roman" w:cstheme="minorHAnsi"/>
                <w:color w:val="000000"/>
                <w:sz w:val="24"/>
                <w:szCs w:val="24"/>
                <w:lang w:eastAsia="pl-PL"/>
              </w:rPr>
              <w:t xml:space="preserve"> Philips umożliwiającym gromadzenie i przesyłanie danych pomiędzy Kliniką Kardiochirurgii oraz innymi komórkami szpitala wpiętymi w system. W przypadku konieczności </w:t>
            </w:r>
            <w:proofErr w:type="spellStart"/>
            <w:r w:rsidRPr="00FE4424">
              <w:rPr>
                <w:rFonts w:eastAsia="Times New Roman" w:cstheme="minorHAnsi"/>
                <w:color w:val="000000"/>
                <w:sz w:val="24"/>
                <w:szCs w:val="24"/>
                <w:lang w:eastAsia="pl-PL"/>
              </w:rPr>
              <w:t>upgradu</w:t>
            </w:r>
            <w:proofErr w:type="spellEnd"/>
            <w:r w:rsidRPr="00FE4424">
              <w:rPr>
                <w:rFonts w:eastAsia="Times New Roman" w:cstheme="minorHAnsi"/>
                <w:color w:val="000000"/>
                <w:sz w:val="24"/>
                <w:szCs w:val="24"/>
                <w:lang w:eastAsia="pl-PL"/>
              </w:rPr>
              <w:t xml:space="preserve"> sytemu Wykonawca wykona to w ramach umowy.</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10 x Nadajnik cyfrowy EKG pracujący w czasie rzeczywistym. Antena nadawcza ukryta wewnątrz nadajnika lub rolę anteny nadawczej pełni ekranowanie przewodu EKG. Wodoodporność min. IPX7 i odporność na wstrząsy i upadki z wysokości min. 1,2m. </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 podać</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Niezależny tryb monitorowania – nawet poza zasięgiem anten oraz automatyczne łączenie się z siecią po powrocie w zasięg anten. Kontrola podłączenia elektrod wyświetlana na ekranie.</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Alternatywne zasilanie nadajnika bateriami powszechnego użytku i akumulatorem. Możliwość wymiany baterii przez użytkownika. Nadajnik wyposażony we wskaźnik stanu baterii i stanu podłączenia elektrod. Czas ciągłej pracy nadajnika przy monitorowaniu EKG min. 24 godziny.</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Kolorowy ekran dotykowy o przekątnej min. 2,5”</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 podać</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r w:rsidRPr="00FE4424">
              <w:rPr>
                <w:rFonts w:eastAsia="Lucida Sans Unicode" w:cstheme="minorHAnsi"/>
                <w:sz w:val="24"/>
                <w:szCs w:val="24"/>
                <w:lang w:eastAsia="zh-CN" w:bidi="hi-IN"/>
              </w:rPr>
              <w:t>Graniczna przekątna – 0 pkt. Powyżej – 10 pkt</w:t>
            </w: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Min. 5 formatów prezentacji danych na ekranie z prezentacja do 6 parametrów lub 2 krzywych. Wybór orientacji ekranu oraz automatyczny tryb uśpienia oszczędzający energię (monitoring pacjenta przy wygaszonym ekranie kolorowym). </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b/>
                <w:bCs/>
                <w:color w:val="000000"/>
                <w:sz w:val="24"/>
                <w:szCs w:val="24"/>
                <w:lang w:eastAsia="pl-PL"/>
              </w:rPr>
              <w:t>Pomiar EKG</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Wyświetlanie na ekranie centrali monitorującej minimum 2 krzywych EKG jednocześnie. Analiza odcinka ST, QT/</w:t>
            </w:r>
            <w:proofErr w:type="spellStart"/>
            <w:r w:rsidRPr="00FE4424">
              <w:rPr>
                <w:rFonts w:eastAsia="Times New Roman" w:cstheme="minorHAnsi"/>
                <w:color w:val="000000"/>
                <w:sz w:val="24"/>
                <w:szCs w:val="24"/>
                <w:lang w:eastAsia="pl-PL"/>
              </w:rPr>
              <w:t>QTc</w:t>
            </w:r>
            <w:proofErr w:type="spellEnd"/>
            <w:r w:rsidRPr="00FE4424">
              <w:rPr>
                <w:rFonts w:eastAsia="Times New Roman" w:cstheme="minorHAnsi"/>
                <w:color w:val="000000"/>
                <w:sz w:val="24"/>
                <w:szCs w:val="24"/>
                <w:lang w:eastAsia="pl-PL"/>
              </w:rPr>
              <w:t xml:space="preserve"> z prezentacją graficzną zmian ST na wykresach kołowych dostępna w centrali monitorującej. </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Możliwość monitorowania 3-, 5- i 6- odprowadzeniowego EKG oraz 12 odprowadzeniowego EKG z przewodów 5- i 6- żyłowych. </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proofErr w:type="spellStart"/>
            <w:r w:rsidRPr="00FE4424">
              <w:rPr>
                <w:rFonts w:eastAsia="Times New Roman" w:cstheme="minorHAnsi"/>
                <w:color w:val="000000"/>
                <w:sz w:val="24"/>
                <w:szCs w:val="24"/>
                <w:lang w:eastAsia="pl-PL"/>
              </w:rPr>
              <w:t>Wieloodprowadzeniowe</w:t>
            </w:r>
            <w:proofErr w:type="spellEnd"/>
            <w:r w:rsidRPr="00FE4424">
              <w:rPr>
                <w:rFonts w:eastAsia="Times New Roman" w:cstheme="minorHAnsi"/>
                <w:color w:val="000000"/>
                <w:sz w:val="24"/>
                <w:szCs w:val="24"/>
                <w:lang w:eastAsia="pl-PL"/>
              </w:rPr>
              <w:t xml:space="preserve"> monitorowanie odcinka ST/arytmii. </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b/>
                <w:bCs/>
                <w:color w:val="000000"/>
                <w:sz w:val="24"/>
                <w:szCs w:val="24"/>
                <w:lang w:eastAsia="pl-PL"/>
              </w:rPr>
              <w:t>Akcesoria startowe dla wszystkich nadajników:</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- 2x opakowanie ochronne dla nadajnika do noszenia na szyi przez pacjenta (min. 200 szt. w opakowaniu)</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- 2x ładowarka umożliwiająca ładowanie min. 9 akumulatorów jednocześnie</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- 10x akumulatory wielokrotnego ładowania</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- 10x zestaw kabli 3 lub 5 lub 6-odprowadzeniowych</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 podać</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bCs/>
                <w:color w:val="000000"/>
                <w:sz w:val="24"/>
                <w:szCs w:val="24"/>
                <w:lang w:eastAsia="pl-PL"/>
              </w:rPr>
            </w:pPr>
            <w:r w:rsidRPr="00FE4424">
              <w:rPr>
                <w:rFonts w:eastAsia="Times New Roman" w:cstheme="minorHAnsi"/>
                <w:bCs/>
                <w:color w:val="000000"/>
                <w:sz w:val="24"/>
                <w:szCs w:val="24"/>
                <w:lang w:eastAsia="pl-PL"/>
              </w:rPr>
              <w:t>W ramach realizacji przedmiotu dostawy Oferent zobowiązany jest dostarczyć oraz zamontować komponenty sieciowe niezbędne do pracy całego systemu telemetrycznego zapewniające odpowiedni poziom sygnału na całym oddziale Kliniki Kardiochirurgii</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8" w:space="0" w:color="000000"/>
              <w:bottom w:val="single" w:sz="8" w:space="0" w:color="000000"/>
              <w:right w:val="single" w:sz="8"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bCs/>
                <w:color w:val="000000"/>
                <w:sz w:val="24"/>
                <w:szCs w:val="24"/>
                <w:lang w:eastAsia="pl-PL"/>
              </w:rPr>
            </w:pPr>
            <w:r w:rsidRPr="00FE4424">
              <w:rPr>
                <w:rFonts w:eastAsia="Times New Roman" w:cstheme="minorHAnsi"/>
                <w:bCs/>
                <w:color w:val="000000"/>
                <w:sz w:val="24"/>
                <w:szCs w:val="24"/>
                <w:lang w:eastAsia="pl-PL"/>
              </w:rPr>
              <w:t xml:space="preserve">Możliwość wyświetlania na stacjonarnych kardiomonitorach serii MX </w:t>
            </w:r>
            <w:proofErr w:type="spellStart"/>
            <w:r w:rsidRPr="00FE4424">
              <w:rPr>
                <w:rFonts w:eastAsia="Times New Roman" w:cstheme="minorHAnsi"/>
                <w:bCs/>
                <w:color w:val="000000"/>
                <w:sz w:val="24"/>
                <w:szCs w:val="24"/>
                <w:lang w:eastAsia="pl-PL"/>
              </w:rPr>
              <w:t>prod</w:t>
            </w:r>
            <w:proofErr w:type="spellEnd"/>
            <w:r w:rsidRPr="00FE4424">
              <w:rPr>
                <w:rFonts w:eastAsia="Times New Roman" w:cstheme="minorHAnsi"/>
                <w:bCs/>
                <w:color w:val="000000"/>
                <w:sz w:val="24"/>
                <w:szCs w:val="24"/>
                <w:lang w:eastAsia="pl-PL"/>
              </w:rPr>
              <w:t xml:space="preserve">. Philips posiadanych przez Klinikę Kardiochirurgii sygnały z nadajników. </w:t>
            </w:r>
          </w:p>
        </w:tc>
        <w:tc>
          <w:tcPr>
            <w:tcW w:w="1489"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single" w:sz="8" w:space="0" w:color="000000"/>
              <w:bottom w:val="single" w:sz="8" w:space="0" w:color="000000"/>
              <w:right w:val="single" w:sz="8"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single" w:sz="4" w:space="0" w:color="000000"/>
              <w:bottom w:val="single" w:sz="4" w:space="0" w:color="000000"/>
              <w:right w:val="single" w:sz="4" w:space="0" w:color="000000"/>
            </w:tcBorders>
            <w:shd w:val="clear" w:color="auto" w:fill="D9D9D9"/>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b/>
                <w:bCs/>
                <w:color w:val="000000"/>
                <w:sz w:val="24"/>
                <w:szCs w:val="24"/>
                <w:lang w:eastAsia="pl-PL"/>
              </w:rPr>
              <w:t>Stacja centralnego monitorowania – 1 szt.</w:t>
            </w:r>
          </w:p>
        </w:tc>
        <w:tc>
          <w:tcPr>
            <w:tcW w:w="1489" w:type="dxa"/>
            <w:tcMar>
              <w:left w:w="60" w:type="dxa"/>
            </w:tcMar>
          </w:tcPr>
          <w:p w:rsidR="00320BF8" w:rsidRPr="00FE4424" w:rsidRDefault="00320BF8" w:rsidP="00320BF8">
            <w:pPr>
              <w:widowControl w:val="0"/>
              <w:snapToGrid w:val="0"/>
              <w:spacing w:after="0" w:line="240" w:lineRule="auto"/>
              <w:jc w:val="center"/>
              <w:rPr>
                <w:rFonts w:cstheme="minorHAnsi"/>
                <w:kern w:val="2"/>
                <w:sz w:val="24"/>
                <w:szCs w:val="24"/>
                <w14:ligatures w14:val="standardContextual"/>
              </w:rPr>
            </w:pP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 xml:space="preserve">Urządzenie fabrycznie nowe, </w:t>
            </w:r>
            <w:proofErr w:type="spellStart"/>
            <w:r w:rsidRPr="00FE4424">
              <w:rPr>
                <w:rFonts w:eastAsiaTheme="minorEastAsia" w:cstheme="minorHAnsi"/>
                <w:sz w:val="24"/>
                <w:szCs w:val="24"/>
              </w:rPr>
              <w:t>nierekondycjonowane</w:t>
            </w:r>
            <w:proofErr w:type="spellEnd"/>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line="240" w:lineRule="auto"/>
              <w:rPr>
                <w:rFonts w:cstheme="minorHAnsi"/>
                <w:sz w:val="24"/>
                <w:szCs w:val="24"/>
              </w:rPr>
            </w:pPr>
            <w:r w:rsidRPr="00FE4424">
              <w:rPr>
                <w:rFonts w:cstheme="minorHAnsi"/>
                <w:spacing w:val="-5"/>
                <w:sz w:val="24"/>
                <w:szCs w:val="24"/>
              </w:rPr>
              <w:t>Model / typ</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TAK</w:t>
            </w:r>
          </w:p>
          <w:p w:rsidR="00320BF8" w:rsidRPr="00FE4424" w:rsidRDefault="00320BF8" w:rsidP="00320BF8">
            <w:pPr>
              <w:pStyle w:val="WW-Tekstpodstawowy3"/>
              <w:jc w:val="center"/>
              <w:rPr>
                <w:rFonts w:asciiTheme="minorHAnsi" w:hAnsiTheme="minorHAnsi" w:cstheme="minorHAnsi"/>
                <w:szCs w:val="24"/>
              </w:rPr>
            </w:pPr>
            <w:r w:rsidRPr="00FE4424">
              <w:rPr>
                <w:rFonts w:asciiTheme="minorHAnsi" w:hAnsiTheme="minorHAnsi" w:cstheme="minorHAnsi"/>
                <w:szCs w:val="24"/>
              </w:rPr>
              <w:t>(podać)</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System operacyjny centrali nie starszy niż Windows 10 lub Mac OS X 10.8 lub inny posiadający aktualne wsparcie techniczne producenta. Funkcja automatycznego tworzenia kopii zapasowej danych umożliwiająca szybkie przywrócenie działania systemu w razie awarii.</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System przygotowany sprzętowo i programowo do rozbudowy o kolejne urządzenia monitorujące (do min. 32). </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 podać</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Prezentacja danych pacjentów monitorowanych na kolorowym ekranie typu LCD TFT o przekątnej co najmniej 23” i rozdzielczości Full HD.</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 2 ekrany</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Możliwość podglądu systemu w gabinecie lekarskim z możliwością ingerencji w parametry pracy/ustawienia. Dodatkowo wykonanie w 2 wskazanych lokalizacjach przez Zamawiającego podglądu z centrali w formie podglądu pasywnego lub jako podgląd poprzez dedykowaną aplikację lub przeglądarkę.</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Podgląd, monitorowanie i zapis danych wszystkich parametrów i przebiegów falowych z kardiomonitorów - wyświetlanie wszystkich krzywych dynamicznych i wartości numerycznych.</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Możliwość elastycznego konfigurowania układu ekranu z poziomu użytkownika (bez udziału serwisu), w tym:</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zmiana wielkości okna (sektora) dla każdego pacjenta niezależnie</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zmiana formatu i rodzaju wyświetlanych parametrów liczbowych i krzywych dynamicznych (dla każdego pacjenta niezależnie).</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Automatyczna oraz ręczna (przez Użytkownika) minimalizacja sektorów dla nieaktywnych kardiomonitorów. Automatyczne przywrócenie zapisu po włączeniu kardiomonitora. </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Możliwość przypisania do jednego pacjenta dwóch urządzeń monitorujących tj. kardiomonitora i monitora telemetrycznego.</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Alarmy 3-stopniowe (wizualne i akustyczne) z poszczególnych łóżek, z identyfikacją alarmującego łóżka.</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Sterowanie funkcjami kardiomonitorów, w tym ustawieniami alarmów i pomiarów, uruchamianie nieinwazyjnego pomiaru ciśnienia.</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Wpisywanie danych demograficznych pacjenta w centrali i w kardiomonitorach.</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Funkcja "holterowska": zapis ciągły przebiegów dynamicznych (w tym zapis 12 </w:t>
            </w:r>
            <w:proofErr w:type="spellStart"/>
            <w:r w:rsidRPr="00FE4424">
              <w:rPr>
                <w:rFonts w:eastAsia="Times New Roman" w:cstheme="minorHAnsi"/>
                <w:color w:val="000000"/>
                <w:sz w:val="24"/>
                <w:szCs w:val="24"/>
                <w:lang w:eastAsia="pl-PL"/>
              </w:rPr>
              <w:t>odprowadzeń</w:t>
            </w:r>
            <w:proofErr w:type="spellEnd"/>
            <w:r w:rsidRPr="00FE4424">
              <w:rPr>
                <w:rFonts w:eastAsia="Times New Roman" w:cstheme="minorHAnsi"/>
                <w:color w:val="000000"/>
                <w:sz w:val="24"/>
                <w:szCs w:val="24"/>
                <w:lang w:eastAsia="pl-PL"/>
              </w:rPr>
              <w:t xml:space="preserve"> EKG) z min. 7 ostatnich dni, z możliwością wglądu w dowolny fragment tego zapisu.</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Pamięć stanów krytycznych (alarmów arytmii i innych zdarzeń, z zapisem odcinków monitorowanych krzywych dynamicznych i wartości liczbowych). Funkcja wykonywania pomiarów na zapamiętanych krzywych / min. pomiar RR, QT.</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Zapis alarmów i zdarzeń z okresu min. 30 dni. Możliwość przeszukiwania listy według pacjenta lub oddziału, według kategorii alarmu oraz według rodzaju wykonywanych przez personel czynności działań (np. wyłączenie alarmu). Zapis dostępny do wyświetlenia lub eksportu do pamięci USB lub do udostępnionego dysku sieciowego.</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Sygnalizacja alarmowa zdarzeń związanych z zaburzeniami rytmu, w tym co najmniej:</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 </w:t>
            </w:r>
            <w:proofErr w:type="spellStart"/>
            <w:r w:rsidRPr="00FE4424">
              <w:rPr>
                <w:rFonts w:eastAsia="Times New Roman" w:cstheme="minorHAnsi"/>
                <w:color w:val="000000"/>
                <w:sz w:val="24"/>
                <w:szCs w:val="24"/>
                <w:lang w:eastAsia="pl-PL"/>
              </w:rPr>
              <w:t>Asystolia</w:t>
            </w:r>
            <w:proofErr w:type="spellEnd"/>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 </w:t>
            </w:r>
            <w:proofErr w:type="spellStart"/>
            <w:r w:rsidRPr="00FE4424">
              <w:rPr>
                <w:rFonts w:eastAsia="Times New Roman" w:cstheme="minorHAnsi"/>
                <w:color w:val="000000"/>
                <w:sz w:val="24"/>
                <w:szCs w:val="24"/>
                <w:lang w:eastAsia="pl-PL"/>
              </w:rPr>
              <w:t>Vfib</w:t>
            </w:r>
            <w:proofErr w:type="spellEnd"/>
            <w:r w:rsidRPr="00FE4424">
              <w:rPr>
                <w:rFonts w:eastAsia="Times New Roman" w:cstheme="minorHAnsi"/>
                <w:color w:val="000000"/>
                <w:sz w:val="24"/>
                <w:szCs w:val="24"/>
                <w:lang w:eastAsia="pl-PL"/>
              </w:rPr>
              <w:t>/</w:t>
            </w:r>
            <w:proofErr w:type="spellStart"/>
            <w:r w:rsidRPr="00FE4424">
              <w:rPr>
                <w:rFonts w:eastAsia="Times New Roman" w:cstheme="minorHAnsi"/>
                <w:color w:val="000000"/>
                <w:sz w:val="24"/>
                <w:szCs w:val="24"/>
                <w:lang w:eastAsia="pl-PL"/>
              </w:rPr>
              <w:t>Vtach</w:t>
            </w:r>
            <w:proofErr w:type="spellEnd"/>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Tachykardia komorowa</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Ciężka tachykardia</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Ciężka bradykardia</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 Wysoka częstość skurczów </w:t>
            </w:r>
            <w:proofErr w:type="spellStart"/>
            <w:r w:rsidRPr="00FE4424">
              <w:rPr>
                <w:rFonts w:eastAsia="Times New Roman" w:cstheme="minorHAnsi"/>
                <w:color w:val="000000"/>
                <w:sz w:val="24"/>
                <w:szCs w:val="24"/>
                <w:lang w:eastAsia="pl-PL"/>
              </w:rPr>
              <w:t>ektopowych</w:t>
            </w:r>
            <w:proofErr w:type="spellEnd"/>
            <w:r w:rsidRPr="00FE4424">
              <w:rPr>
                <w:rFonts w:eastAsia="Times New Roman" w:cstheme="minorHAnsi"/>
                <w:color w:val="000000"/>
                <w:sz w:val="24"/>
                <w:szCs w:val="24"/>
                <w:lang w:eastAsia="pl-PL"/>
              </w:rPr>
              <w:t xml:space="preserve"> </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HR wysokie</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HR niskie</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Migotanie przedsionków (początek i koniec).</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 podać</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Możliwość wyłączenia alarmów poszczególnych arytmii (w tym migotania przedsionków). </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Możliwość modyfikacji kryteriów alarmowania dla poszczególnych arytmii. </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Trendy graficzne i numeryczne z minimum 150h ostatnich godzin wszystkich mierzonych przez monitory parametrów.</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 podać</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Funkcja analizy najczęściej występujących alarmów u danego pacjenta z prezentacją wartości progowych i trendów podstawowych parametrów życiowych. </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Oprogramowanie centrali w języku polskim.</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bottom"/>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Funkcjonalność autoryzowanego dostępu w trybie odczytu do danych monitorowanych przez centralę możliwy z dowolnego komputera z poziomu przeglądarki internetowej. Dostęp chroniony hasłem dostępu. </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System gotowy do przesyłania i odbierania danych w standardzie HL7. </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Drukarka laserowa</w:t>
            </w:r>
            <w:r w:rsidR="00533497" w:rsidRPr="00FE4424">
              <w:rPr>
                <w:rFonts w:eastAsia="Times New Roman" w:cstheme="minorHAnsi"/>
                <w:color w:val="000000"/>
                <w:sz w:val="24"/>
                <w:szCs w:val="24"/>
                <w:lang w:eastAsia="pl-PL"/>
              </w:rPr>
              <w:t xml:space="preserve"> z funkcją duplex</w:t>
            </w:r>
            <w:r w:rsidRPr="00FE4424">
              <w:rPr>
                <w:rFonts w:eastAsia="Times New Roman" w:cstheme="minorHAnsi"/>
                <w:color w:val="000000"/>
                <w:sz w:val="24"/>
                <w:szCs w:val="24"/>
                <w:lang w:eastAsia="pl-PL"/>
              </w:rPr>
              <w:t>, sieciowa podłączona do systemu w formacie A4.</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Zasilacz awaryjny typu UPS.</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Możliwość rozbudowy systemu o funkcjonalność umożliwiającą elastyczną regulację przypisanych licencji pomiędzy centralami, które są podpięte pod jeden serwer wymiany danych. Możliwość przepisywania pacjentów pomiędzy centralami oraz oddziałami z zachowaniem ciągłości danych. Możliwość udostępniania przeglądów specjalistycznych typu raport 12-EKG celem wykonania konsultacji np. kardiologicznych. Możliwość podglądu jednego pacjenta na kilku różnych centralach i kilku różnych kardiomonitorach. </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xml:space="preserve">Możliwość rozbudowy o funkcjonalność integracji danych z posiadanym przez Zamawiającego systemem </w:t>
            </w:r>
            <w:proofErr w:type="spellStart"/>
            <w:r w:rsidRPr="00FE4424">
              <w:rPr>
                <w:rFonts w:eastAsia="Times New Roman" w:cstheme="minorHAnsi"/>
                <w:color w:val="000000"/>
                <w:sz w:val="24"/>
                <w:szCs w:val="24"/>
                <w:lang w:eastAsia="pl-PL"/>
              </w:rPr>
              <w:t>ogólno</w:t>
            </w:r>
            <w:proofErr w:type="spellEnd"/>
            <w:r w:rsidRPr="00FE4424">
              <w:rPr>
                <w:rFonts w:eastAsia="Times New Roman" w:cstheme="minorHAnsi"/>
                <w:color w:val="000000"/>
                <w:sz w:val="24"/>
                <w:szCs w:val="24"/>
                <w:lang w:eastAsia="pl-PL"/>
              </w:rPr>
              <w:t>-szpitalnym HIS.</w:t>
            </w:r>
            <w:r w:rsidRPr="00FE4424">
              <w:rPr>
                <w:rFonts w:eastAsia="Times New Roman" w:cstheme="minorHAnsi"/>
                <w:color w:val="000000"/>
                <w:sz w:val="24"/>
                <w:szCs w:val="24"/>
                <w:lang w:eastAsia="pl-PL"/>
              </w:rPr>
              <w:br/>
              <w:t>Zakres danych będących przedmiotem integracji:</w:t>
            </w:r>
            <w:r w:rsidRPr="00FE4424">
              <w:rPr>
                <w:rFonts w:eastAsia="Times New Roman" w:cstheme="minorHAnsi"/>
                <w:color w:val="000000"/>
                <w:sz w:val="24"/>
                <w:szCs w:val="24"/>
                <w:lang w:eastAsia="pl-PL"/>
              </w:rPr>
              <w:br/>
              <w:t>- integracja w zakresie ruchu chorych (ADT) z odsyłaniem wyników razem z krzywą EKG</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współpraca dwukierunkowa systemu z systemem HIS wg protokołu HL7 (integracja HL7 min. dla modułu zapytań (QRY), raportowania (ORU))</w:t>
            </w:r>
          </w:p>
          <w:p w:rsidR="00320BF8" w:rsidRPr="00FE4424" w:rsidRDefault="00320BF8" w:rsidP="00320BF8">
            <w:pPr>
              <w:spacing w:after="0" w:line="240" w:lineRule="auto"/>
              <w:rPr>
                <w:rFonts w:eastAsia="Times New Roman" w:cstheme="minorHAnsi"/>
                <w:color w:val="000000"/>
                <w:sz w:val="24"/>
                <w:szCs w:val="24"/>
                <w:lang w:eastAsia="pl-PL"/>
              </w:rPr>
            </w:pPr>
            <w:r w:rsidRPr="00FE4424">
              <w:rPr>
                <w:rFonts w:eastAsia="Times New Roman" w:cstheme="minorHAnsi"/>
                <w:color w:val="000000"/>
                <w:sz w:val="24"/>
                <w:szCs w:val="24"/>
                <w:lang w:eastAsia="pl-PL"/>
              </w:rPr>
              <w:t>- odczyt kodów paskowych z ID pacjenta z kodu kreskowego szpitalnego systemu identyfikacji pacjentów oraz import danych pacjenta z systemu HIS (ADT) bezpośrednio do systemu monitorowania.</w:t>
            </w:r>
          </w:p>
        </w:tc>
        <w:tc>
          <w:tcPr>
            <w:tcW w:w="1489" w:type="dxa"/>
            <w:tcBorders>
              <w:top w:val="single" w:sz="4" w:space="0" w:color="000000"/>
              <w:left w:val="nil"/>
              <w:bottom w:val="single" w:sz="4" w:space="0" w:color="000000"/>
              <w:right w:val="single" w:sz="4" w:space="0" w:color="000000"/>
            </w:tcBorders>
            <w:shd w:val="clear" w:color="auto" w:fill="FFFFFF"/>
            <w:tcMar>
              <w:left w:w="60" w:type="dxa"/>
            </w:tcMar>
            <w:vAlign w:val="center"/>
          </w:tcPr>
          <w:p w:rsidR="00320BF8" w:rsidRPr="00FE4424" w:rsidRDefault="00320BF8" w:rsidP="00320BF8">
            <w:pPr>
              <w:spacing w:after="0" w:line="240" w:lineRule="auto"/>
              <w:jc w:val="center"/>
              <w:rPr>
                <w:rFonts w:eastAsia="Times New Roman" w:cstheme="minorHAnsi"/>
                <w:color w:val="000000"/>
                <w:sz w:val="24"/>
                <w:szCs w:val="24"/>
                <w:lang w:eastAsia="pl-PL"/>
              </w:rPr>
            </w:pPr>
            <w:r w:rsidRPr="00FE4424">
              <w:rPr>
                <w:rFonts w:eastAsia="Times New Roman" w:cstheme="minorHAnsi"/>
                <w:color w:val="000000"/>
                <w:sz w:val="24"/>
                <w:szCs w:val="24"/>
                <w:lang w:eastAsia="pl-PL"/>
              </w:rPr>
              <w:t>TAK</w:t>
            </w:r>
          </w:p>
        </w:tc>
        <w:tc>
          <w:tcPr>
            <w:tcW w:w="1346" w:type="dxa"/>
            <w:tcBorders>
              <w:top w:val="single" w:sz="4" w:space="0" w:color="000000"/>
              <w:left w:val="nil"/>
              <w:bottom w:val="single" w:sz="4" w:space="0" w:color="000000"/>
              <w:right w:val="single" w:sz="4" w:space="0" w:color="000000"/>
            </w:tcBorders>
            <w:shd w:val="clear" w:color="auto" w:fill="FFFFFF"/>
            <w:tcMar>
              <w:left w:w="60" w:type="dxa"/>
            </w:tcMar>
          </w:tcPr>
          <w:p w:rsidR="00320BF8" w:rsidRPr="00FE4424" w:rsidRDefault="00320BF8" w:rsidP="00320BF8">
            <w:pPr>
              <w:spacing w:after="0" w:line="240" w:lineRule="auto"/>
              <w:rPr>
                <w:rFonts w:eastAsia="Times New Roman" w:cstheme="minorHAnsi"/>
                <w:color w:val="000000"/>
                <w:sz w:val="24"/>
                <w:szCs w:val="24"/>
                <w:lang w:eastAsia="pl-PL"/>
              </w:rPr>
            </w:pPr>
          </w:p>
        </w:tc>
        <w:tc>
          <w:tcPr>
            <w:tcW w:w="1373" w:type="dxa"/>
            <w:tcBorders>
              <w:top w:val="single" w:sz="4" w:space="0" w:color="000000"/>
              <w:left w:val="nil"/>
              <w:bottom w:val="single" w:sz="4" w:space="0" w:color="000000"/>
              <w:right w:val="single" w:sz="4" w:space="0" w:color="000000"/>
            </w:tcBorders>
            <w:shd w:val="clear" w:color="auto" w:fill="FFFFFF"/>
            <w:vAlign w:val="center"/>
          </w:tcPr>
          <w:p w:rsidR="00320BF8" w:rsidRPr="00FE4424" w:rsidRDefault="00320BF8" w:rsidP="00320BF8">
            <w:pPr>
              <w:spacing w:after="0" w:line="240" w:lineRule="auto"/>
              <w:rPr>
                <w:rFonts w:eastAsia="Times New Roman" w:cstheme="minorHAnsi"/>
                <w:sz w:val="24"/>
                <w:szCs w:val="24"/>
                <w:lang w:eastAsia="pl-PL"/>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bottom w:val="single" w:sz="4" w:space="0" w:color="auto"/>
            </w:tcBorders>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W dniu instalacji szkolenie personelu z obsługi dostarczonych urządzeń</w:t>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tcBorders>
              <w:top w:val="single" w:sz="4" w:space="0" w:color="auto"/>
            </w:tcBorders>
            <w:shd w:val="clear" w:color="auto" w:fill="auto"/>
            <w:tcMar>
              <w:left w:w="60" w:type="dxa"/>
            </w:tcMar>
            <w:vAlign w:val="center"/>
          </w:tcPr>
          <w:p w:rsidR="00320BF8" w:rsidRPr="00FE4424" w:rsidRDefault="00320BF8" w:rsidP="00320BF8">
            <w:pPr>
              <w:snapToGrid w:val="0"/>
              <w:spacing w:after="0" w:line="240" w:lineRule="auto"/>
              <w:rPr>
                <w:rFonts w:cstheme="minorHAnsi"/>
                <w:sz w:val="24"/>
                <w:szCs w:val="24"/>
              </w:rPr>
            </w:pPr>
            <w:r w:rsidRPr="00FE4424">
              <w:rPr>
                <w:rFonts w:cstheme="minorHAnsi"/>
                <w:sz w:val="24"/>
                <w:szCs w:val="24"/>
              </w:rPr>
              <w:t>Instrukcja obsługi, instrukcja czyszczenia/dezynfekcji w języku polskim oraz dokumenty: deklaracja zgodności, CE  w wersji zarówno papierowej jak i elektronicznej np. na płycie CD (format PDF) dostarczana na etapie instalacji urządzenia</w:t>
            </w:r>
            <w:r w:rsidRPr="00FE4424">
              <w:rPr>
                <w:rFonts w:cstheme="minorHAnsi"/>
                <w:sz w:val="24"/>
                <w:szCs w:val="24"/>
              </w:rPr>
              <w:tab/>
            </w:r>
          </w:p>
        </w:tc>
        <w:tc>
          <w:tcPr>
            <w:tcW w:w="1489" w:type="dxa"/>
            <w:tcMar>
              <w:left w:w="60" w:type="dxa"/>
            </w:tcMar>
            <w:vAlign w:val="center"/>
          </w:tcPr>
          <w:p w:rsidR="00320BF8" w:rsidRPr="00FE4424" w:rsidRDefault="00320BF8" w:rsidP="00320BF8">
            <w:pPr>
              <w:snapToGrid w:val="0"/>
              <w:spacing w:after="0" w:line="240" w:lineRule="auto"/>
              <w:jc w:val="center"/>
              <w:rPr>
                <w:rFonts w:cstheme="minorHAnsi"/>
                <w:sz w:val="24"/>
                <w:szCs w:val="24"/>
              </w:rPr>
            </w:pPr>
            <w:r w:rsidRPr="00FE4424">
              <w:rPr>
                <w:rFonts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 okresie gwarancyjnym przeglądy techniczne urządzenia w liczbie,  zakresie i terminie wynikającym z daty uruchomienia zalecanym przez producenta dokonywane w siedzibie Zamawiającego w cenie oferty. Elementy zużywalne wykorzystane do przeglądu technicznego w cenie oferty. Przeglądy powinny być wykonywane z inicjatywy Wykonawcy, ale z uwzględnieniem ustaleń z Zamawiającym.  Obowiązkowy przegląd w ostatnim miesiącu gwarancji. Przesunięcie któregoś z przeglądu z winy Wykonawcy wydłuża okres gwarancji o okres przesunięcia.  W przypadku braku konieczności wykonywania przeglądów technicznych przez Producenta Wykonawca wskaże stosowny zapis w dokumentach producenta urządzenia.</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Liczba przeglądów gwarancyjnych łącznie z przeglądem w ostatnim miesiącu gwarancji</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 podać ilość przeglądów</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Wykaz upoważnionych serwisów urządzenia na teranie Polski zawierający nazwę firmy, adres, telefon, fax. Nazwisko i imię osoby do kontaktu/serwisu (wskazać w materiałach , instrukcji obsługi kto jest upoważniony do wykonywania napraw serwisowych)</w:t>
            </w:r>
          </w:p>
        </w:tc>
        <w:tc>
          <w:tcPr>
            <w:tcW w:w="1489" w:type="dxa"/>
            <w:tcMar>
              <w:left w:w="60" w:type="dxa"/>
            </w:tcMar>
          </w:tcPr>
          <w:p w:rsidR="00320BF8" w:rsidRPr="00FE4424" w:rsidRDefault="00320BF8" w:rsidP="00320BF8">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373" w:type="dxa"/>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c>
          <w:tcPr>
            <w:tcW w:w="1463" w:type="dxa"/>
            <w:shd w:val="clear" w:color="auto" w:fill="auto"/>
            <w:tcMar>
              <w:left w:w="60" w:type="dxa"/>
            </w:tcMar>
            <w:vAlign w:val="center"/>
          </w:tcPr>
          <w:p w:rsidR="00320BF8" w:rsidRPr="00FE4424" w:rsidRDefault="00320BF8" w:rsidP="00320BF8">
            <w:pPr>
              <w:widowControl w:val="0"/>
              <w:suppressAutoHyphens/>
              <w:spacing w:after="0" w:line="240" w:lineRule="auto"/>
              <w:rPr>
                <w:rFonts w:eastAsia="Lucida Sans Unicode" w:cstheme="minorHAnsi"/>
                <w:sz w:val="24"/>
                <w:szCs w:val="24"/>
                <w:lang w:eastAsia="zh-CN" w:bidi="hi-IN"/>
              </w:rPr>
            </w:pPr>
          </w:p>
        </w:tc>
      </w:tr>
      <w:tr w:rsidR="002578B4" w:rsidRPr="00FE4424" w:rsidTr="009B3951">
        <w:trPr>
          <w:cantSplit/>
          <w:trHeight w:val="112"/>
        </w:trPr>
        <w:tc>
          <w:tcPr>
            <w:tcW w:w="721" w:type="dxa"/>
            <w:shd w:val="clear" w:color="auto" w:fill="auto"/>
            <w:tcMar>
              <w:left w:w="60" w:type="dxa"/>
            </w:tcMar>
          </w:tcPr>
          <w:p w:rsidR="002578B4" w:rsidRPr="00FE4424" w:rsidRDefault="002578B4" w:rsidP="002578B4">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2578B4" w:rsidRPr="00FE4424" w:rsidRDefault="002578B4" w:rsidP="002578B4">
            <w:pPr>
              <w:spacing w:after="0" w:line="240" w:lineRule="auto"/>
              <w:rPr>
                <w:rFonts w:eastAsiaTheme="minorEastAsia" w:cstheme="minorHAnsi"/>
                <w:sz w:val="24"/>
                <w:szCs w:val="24"/>
              </w:rPr>
            </w:pPr>
            <w:r w:rsidRPr="00FE4424">
              <w:rPr>
                <w:rFonts w:eastAsiaTheme="minorEastAsia" w:cstheme="minorHAnsi"/>
                <w:sz w:val="24"/>
                <w:szCs w:val="24"/>
              </w:rPr>
              <w:t xml:space="preserve">Zapewnienie dostępu do części do napraw, serwisu pogwarancyjnego min. 10 lat od daty  odbioru przedmiotu zamówienia . </w:t>
            </w:r>
          </w:p>
          <w:p w:rsidR="002578B4" w:rsidRPr="00FE4424" w:rsidRDefault="002578B4" w:rsidP="002578B4">
            <w:pPr>
              <w:spacing w:after="0" w:line="240" w:lineRule="auto"/>
              <w:rPr>
                <w:rFonts w:eastAsiaTheme="minorEastAsia" w:cstheme="minorHAnsi"/>
                <w:sz w:val="24"/>
                <w:szCs w:val="24"/>
              </w:rPr>
            </w:pPr>
          </w:p>
        </w:tc>
        <w:tc>
          <w:tcPr>
            <w:tcW w:w="1489" w:type="dxa"/>
            <w:tcMar>
              <w:left w:w="60" w:type="dxa"/>
            </w:tcMar>
          </w:tcPr>
          <w:p w:rsidR="002578B4" w:rsidRPr="00FE4424" w:rsidRDefault="002578B4" w:rsidP="002578B4">
            <w:pPr>
              <w:spacing w:after="0" w:line="240" w:lineRule="auto"/>
              <w:jc w:val="center"/>
              <w:rPr>
                <w:rFonts w:eastAsiaTheme="minorEastAsia"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c>
          <w:tcPr>
            <w:tcW w:w="1373" w:type="dxa"/>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c>
          <w:tcPr>
            <w:tcW w:w="1463" w:type="dxa"/>
            <w:shd w:val="clear" w:color="auto" w:fill="auto"/>
            <w:tcMar>
              <w:left w:w="60" w:type="dxa"/>
            </w:tcMar>
            <w:vAlign w:val="center"/>
          </w:tcPr>
          <w:p w:rsidR="002578B4" w:rsidRPr="00FE4424" w:rsidRDefault="002578B4" w:rsidP="002578B4">
            <w:pPr>
              <w:widowControl w:val="0"/>
              <w:suppressAutoHyphens/>
              <w:spacing w:after="0" w:line="240" w:lineRule="auto"/>
              <w:rPr>
                <w:rFonts w:eastAsia="Lucida Sans Unicode" w:cstheme="minorHAnsi"/>
                <w:sz w:val="24"/>
                <w:szCs w:val="24"/>
                <w:lang w:eastAsia="zh-CN" w:bidi="hi-IN"/>
              </w:rPr>
            </w:pPr>
          </w:p>
        </w:tc>
      </w:tr>
      <w:tr w:rsidR="00320BF8" w:rsidRPr="00FE4424" w:rsidTr="009B3951">
        <w:trPr>
          <w:cantSplit/>
          <w:trHeight w:val="112"/>
        </w:trPr>
        <w:tc>
          <w:tcPr>
            <w:tcW w:w="721" w:type="dxa"/>
            <w:shd w:val="clear" w:color="auto" w:fill="auto"/>
            <w:tcMar>
              <w:left w:w="60" w:type="dxa"/>
            </w:tcMar>
          </w:tcPr>
          <w:p w:rsidR="00320BF8" w:rsidRPr="00FE4424" w:rsidRDefault="00320BF8" w:rsidP="00320BF8">
            <w:pPr>
              <w:pStyle w:val="Akapitzlist"/>
              <w:widowControl w:val="0"/>
              <w:numPr>
                <w:ilvl w:val="0"/>
                <w:numId w:val="2"/>
              </w:numPr>
              <w:suppressAutoHyphens/>
              <w:spacing w:after="0" w:line="240" w:lineRule="auto"/>
              <w:jc w:val="both"/>
              <w:rPr>
                <w:rFonts w:eastAsia="Times New Roman" w:cstheme="minorHAnsi"/>
                <w:sz w:val="24"/>
                <w:szCs w:val="24"/>
                <w:lang w:eastAsia="ar-SA"/>
              </w:rPr>
            </w:pPr>
          </w:p>
        </w:tc>
        <w:tc>
          <w:tcPr>
            <w:tcW w:w="4382"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Gwarancja min. 36 miesięcy</w:t>
            </w:r>
          </w:p>
        </w:tc>
        <w:tc>
          <w:tcPr>
            <w:tcW w:w="1489" w:type="dxa"/>
            <w:tcMar>
              <w:left w:w="60" w:type="dxa"/>
            </w:tcMar>
          </w:tcPr>
          <w:p w:rsidR="00320BF8" w:rsidRPr="00FE4424" w:rsidRDefault="00320BF8" w:rsidP="00320BF8">
            <w:pPr>
              <w:jc w:val="center"/>
              <w:rPr>
                <w:rFonts w:cstheme="minorHAnsi"/>
                <w:sz w:val="24"/>
                <w:szCs w:val="24"/>
              </w:rPr>
            </w:pPr>
            <w:r w:rsidRPr="00FE4424">
              <w:rPr>
                <w:rFonts w:eastAsiaTheme="minorEastAsia" w:cstheme="minorHAnsi"/>
                <w:sz w:val="24"/>
                <w:szCs w:val="24"/>
              </w:rPr>
              <w:t>TAK</w:t>
            </w:r>
          </w:p>
        </w:tc>
        <w:tc>
          <w:tcPr>
            <w:tcW w:w="1346" w:type="dxa"/>
            <w:shd w:val="clear" w:color="auto" w:fill="auto"/>
            <w:tcMar>
              <w:left w:w="60" w:type="dxa"/>
            </w:tcMar>
          </w:tcPr>
          <w:p w:rsidR="00320BF8" w:rsidRPr="00FE4424" w:rsidRDefault="00320BF8" w:rsidP="00320BF8">
            <w:pPr>
              <w:spacing w:after="0" w:line="240" w:lineRule="auto"/>
              <w:jc w:val="center"/>
              <w:rPr>
                <w:rFonts w:eastAsiaTheme="minorEastAsia" w:cstheme="minorHAnsi"/>
                <w:sz w:val="24"/>
                <w:szCs w:val="24"/>
              </w:rPr>
            </w:pPr>
          </w:p>
        </w:tc>
        <w:tc>
          <w:tcPr>
            <w:tcW w:w="1373" w:type="dxa"/>
          </w:tcPr>
          <w:p w:rsidR="00320BF8" w:rsidRPr="00FE4424" w:rsidRDefault="00320BF8" w:rsidP="00320BF8">
            <w:pPr>
              <w:spacing w:after="0" w:line="240" w:lineRule="auto"/>
              <w:jc w:val="center"/>
              <w:rPr>
                <w:rFonts w:eastAsiaTheme="minorEastAsia" w:cstheme="minorHAnsi"/>
                <w:sz w:val="24"/>
                <w:szCs w:val="24"/>
              </w:rPr>
            </w:pPr>
          </w:p>
        </w:tc>
        <w:tc>
          <w:tcPr>
            <w:tcW w:w="1463" w:type="dxa"/>
            <w:shd w:val="clear" w:color="auto" w:fill="auto"/>
            <w:tcMar>
              <w:left w:w="60" w:type="dxa"/>
            </w:tcMar>
          </w:tcPr>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36 miesięcy-0 pkt.</w:t>
            </w:r>
          </w:p>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48 miesięcy–10pkt</w:t>
            </w:r>
          </w:p>
          <w:p w:rsidR="00320BF8" w:rsidRPr="00FE4424" w:rsidRDefault="00320BF8" w:rsidP="00320BF8">
            <w:pPr>
              <w:spacing w:after="0" w:line="240" w:lineRule="auto"/>
              <w:rPr>
                <w:rFonts w:eastAsiaTheme="minorEastAsia" w:cstheme="minorHAnsi"/>
                <w:sz w:val="24"/>
                <w:szCs w:val="24"/>
              </w:rPr>
            </w:pPr>
            <w:r w:rsidRPr="00FE4424">
              <w:rPr>
                <w:rFonts w:eastAsiaTheme="minorEastAsia" w:cstheme="minorHAnsi"/>
                <w:sz w:val="24"/>
                <w:szCs w:val="24"/>
              </w:rPr>
              <w:t>60 miesięcy–20pkt</w:t>
            </w:r>
          </w:p>
        </w:tc>
      </w:tr>
    </w:tbl>
    <w:p w:rsidR="00320BF8" w:rsidRPr="00FE4424" w:rsidRDefault="00320BF8" w:rsidP="00320BF8">
      <w:pPr>
        <w:rPr>
          <w:rFonts w:cstheme="minorHAnsi"/>
          <w:sz w:val="24"/>
          <w:szCs w:val="24"/>
        </w:rPr>
      </w:pPr>
    </w:p>
    <w:p w:rsidR="00320BF8" w:rsidRPr="00FE4424" w:rsidRDefault="00320BF8" w:rsidP="00320BF8">
      <w:pPr>
        <w:rPr>
          <w:rFonts w:cstheme="minorHAnsi"/>
          <w:sz w:val="24"/>
          <w:szCs w:val="24"/>
        </w:rPr>
      </w:pPr>
    </w:p>
    <w:sectPr w:rsidR="00320BF8" w:rsidRPr="00FE4424" w:rsidSect="009B3951">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1C5" w:rsidRDefault="00BC71C5" w:rsidP="00BC0499">
      <w:pPr>
        <w:spacing w:after="0" w:line="240" w:lineRule="auto"/>
      </w:pPr>
      <w:r>
        <w:separator/>
      </w:r>
    </w:p>
  </w:endnote>
  <w:endnote w:type="continuationSeparator" w:id="0">
    <w:p w:rsidR="00BC71C5" w:rsidRDefault="00BC71C5" w:rsidP="00BC0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1C5" w:rsidRDefault="00BC71C5" w:rsidP="00BC0499">
      <w:pPr>
        <w:spacing w:after="0" w:line="240" w:lineRule="auto"/>
      </w:pPr>
      <w:r>
        <w:separator/>
      </w:r>
    </w:p>
  </w:footnote>
  <w:footnote w:type="continuationSeparator" w:id="0">
    <w:p w:rsidR="00BC71C5" w:rsidRDefault="00BC71C5" w:rsidP="00BC04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499" w:rsidRDefault="00BC0499" w:rsidP="00BC0499">
    <w:pPr>
      <w:pStyle w:val="Nagwek"/>
      <w:jc w:val="center"/>
    </w:pPr>
    <w:r>
      <w:rPr>
        <w:noProof/>
        <w:lang w:eastAsia="pl-PL"/>
      </w:rPr>
      <w:drawing>
        <wp:inline distT="0" distB="0" distL="0" distR="0" wp14:anchorId="50516BA2">
          <wp:extent cx="5761355" cy="5727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2770"/>
                  </a:xfrm>
                  <a:prstGeom prst="rect">
                    <a:avLst/>
                  </a:prstGeom>
                  <a:noFill/>
                </pic:spPr>
              </pic:pic>
            </a:graphicData>
          </a:graphic>
        </wp:inline>
      </w:drawing>
    </w:r>
  </w:p>
  <w:p w:rsidR="00A332D2" w:rsidRDefault="00A332D2" w:rsidP="00BC0499">
    <w:pPr>
      <w:pStyle w:val="Nagwek"/>
      <w:jc w:val="center"/>
    </w:pPr>
  </w:p>
  <w:p w:rsidR="00A332D2" w:rsidRPr="00A332D2" w:rsidRDefault="00A332D2" w:rsidP="00A332D2">
    <w:pPr>
      <w:pStyle w:val="Nagwek"/>
      <w:jc w:val="right"/>
      <w:rPr>
        <w:rFonts w:cstheme="minorHAnsi"/>
        <w:sz w:val="24"/>
        <w:szCs w:val="24"/>
      </w:rPr>
    </w:pPr>
    <w:r>
      <w:t xml:space="preserve">                                                                                                                                                                                                                     </w:t>
    </w:r>
    <w:r w:rsidRPr="00A332D2">
      <w:rPr>
        <w:rFonts w:cstheme="minorHAnsi"/>
        <w:sz w:val="24"/>
        <w:szCs w:val="24"/>
      </w:rPr>
      <w:t>ZP250/028/2026</w:t>
    </w:r>
  </w:p>
  <w:p w:rsidR="00BC0499" w:rsidRDefault="00BC049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1C411507"/>
    <w:multiLevelType w:val="multilevel"/>
    <w:tmpl w:val="04150025"/>
    <w:lvl w:ilvl="0">
      <w:start w:val="1"/>
      <w:numFmt w:val="decimal"/>
      <w:pStyle w:val="Nagwek1"/>
      <w:lvlText w:val="%1"/>
      <w:lvlJc w:val="left"/>
      <w:pPr>
        <w:ind w:left="432" w:hanging="432"/>
      </w:pPr>
      <w:rPr>
        <w:rFonts w:hint="default"/>
        <w:sz w:val="16"/>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1">
    <w:nsid w:val="2123739E"/>
    <w:multiLevelType w:val="hybridMultilevel"/>
    <w:tmpl w:val="3DE4B572"/>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C085E6F"/>
    <w:multiLevelType w:val="multilevel"/>
    <w:tmpl w:val="4AB2E95E"/>
    <w:lvl w:ilvl="0">
      <w:start w:val="1"/>
      <w:numFmt w:val="bullet"/>
      <w:lvlText w:val=""/>
      <w:lvlJc w:val="left"/>
      <w:pPr>
        <w:tabs>
          <w:tab w:val="num" w:pos="720"/>
        </w:tabs>
        <w:ind w:left="720" w:hanging="360"/>
      </w:pPr>
      <w:rPr>
        <w:rFonts w:ascii="Symbol" w:hAnsi="Symbol" w:cs="OpenSymbol" w:hint="default"/>
        <w:sz w:val="20"/>
      </w:rPr>
    </w:lvl>
    <w:lvl w:ilvl="1">
      <w:start w:val="1"/>
      <w:numFmt w:val="bullet"/>
      <w:lvlText w:val="◦"/>
      <w:lvlJc w:val="left"/>
      <w:pPr>
        <w:tabs>
          <w:tab w:val="num" w:pos="1080"/>
        </w:tabs>
        <w:ind w:left="1080" w:hanging="360"/>
      </w:pPr>
      <w:rPr>
        <w:rFonts w:ascii="OpenSymbol" w:hAnsi="OpenSymbol" w:cs="OpenSymbol" w:hint="default"/>
        <w:sz w:val="20"/>
      </w:rPr>
    </w:lvl>
    <w:lvl w:ilvl="2">
      <w:start w:val="1"/>
      <w:numFmt w:val="bullet"/>
      <w:lvlText w:val="▪"/>
      <w:lvlJc w:val="left"/>
      <w:pPr>
        <w:tabs>
          <w:tab w:val="num" w:pos="1440"/>
        </w:tabs>
        <w:ind w:left="1440" w:hanging="360"/>
      </w:pPr>
      <w:rPr>
        <w:rFonts w:ascii="OpenSymbol" w:hAnsi="OpenSymbol" w:cs="OpenSymbol" w:hint="default"/>
        <w:sz w:val="20"/>
      </w:rPr>
    </w:lvl>
    <w:lvl w:ilvl="3">
      <w:start w:val="1"/>
      <w:numFmt w:val="bullet"/>
      <w:lvlText w:val=""/>
      <w:lvlJc w:val="left"/>
      <w:pPr>
        <w:tabs>
          <w:tab w:val="num" w:pos="1800"/>
        </w:tabs>
        <w:ind w:left="1800" w:hanging="360"/>
      </w:pPr>
      <w:rPr>
        <w:rFonts w:ascii="Symbol" w:hAnsi="Symbol" w:cs="OpenSymbol" w:hint="default"/>
        <w:sz w:val="20"/>
      </w:rPr>
    </w:lvl>
    <w:lvl w:ilvl="4">
      <w:start w:val="1"/>
      <w:numFmt w:val="bullet"/>
      <w:lvlText w:val="◦"/>
      <w:lvlJc w:val="left"/>
      <w:pPr>
        <w:tabs>
          <w:tab w:val="num" w:pos="2160"/>
        </w:tabs>
        <w:ind w:left="2160" w:hanging="360"/>
      </w:pPr>
      <w:rPr>
        <w:rFonts w:ascii="OpenSymbol" w:hAnsi="OpenSymbol" w:cs="OpenSymbol" w:hint="default"/>
        <w:sz w:val="20"/>
      </w:rPr>
    </w:lvl>
    <w:lvl w:ilvl="5">
      <w:start w:val="1"/>
      <w:numFmt w:val="bullet"/>
      <w:lvlText w:val="▪"/>
      <w:lvlJc w:val="left"/>
      <w:pPr>
        <w:tabs>
          <w:tab w:val="num" w:pos="2520"/>
        </w:tabs>
        <w:ind w:left="2520" w:hanging="360"/>
      </w:pPr>
      <w:rPr>
        <w:rFonts w:ascii="OpenSymbol" w:hAnsi="OpenSymbol" w:cs="OpenSymbol" w:hint="default"/>
        <w:sz w:val="20"/>
      </w:rPr>
    </w:lvl>
    <w:lvl w:ilvl="6">
      <w:start w:val="1"/>
      <w:numFmt w:val="bullet"/>
      <w:lvlText w:val=""/>
      <w:lvlJc w:val="left"/>
      <w:pPr>
        <w:tabs>
          <w:tab w:val="num" w:pos="2880"/>
        </w:tabs>
        <w:ind w:left="2880" w:hanging="360"/>
      </w:pPr>
      <w:rPr>
        <w:rFonts w:ascii="Symbol" w:hAnsi="Symbol" w:cs="OpenSymbol" w:hint="default"/>
        <w:sz w:val="20"/>
      </w:rPr>
    </w:lvl>
    <w:lvl w:ilvl="7">
      <w:start w:val="1"/>
      <w:numFmt w:val="bullet"/>
      <w:lvlText w:val="◦"/>
      <w:lvlJc w:val="left"/>
      <w:pPr>
        <w:tabs>
          <w:tab w:val="num" w:pos="3240"/>
        </w:tabs>
        <w:ind w:left="3240" w:hanging="360"/>
      </w:pPr>
      <w:rPr>
        <w:rFonts w:ascii="OpenSymbol" w:hAnsi="OpenSymbol" w:cs="OpenSymbol" w:hint="default"/>
        <w:sz w:val="20"/>
      </w:rPr>
    </w:lvl>
    <w:lvl w:ilvl="8">
      <w:start w:val="1"/>
      <w:numFmt w:val="bullet"/>
      <w:lvlText w:val="▪"/>
      <w:lvlJc w:val="left"/>
      <w:pPr>
        <w:tabs>
          <w:tab w:val="num" w:pos="3600"/>
        </w:tabs>
        <w:ind w:left="3600" w:hanging="360"/>
      </w:pPr>
      <w:rPr>
        <w:rFonts w:ascii="OpenSymbol" w:hAnsi="OpenSymbol" w:cs="OpenSymbol"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BF8"/>
    <w:rsid w:val="00080B7F"/>
    <w:rsid w:val="002578B4"/>
    <w:rsid w:val="002C5F1E"/>
    <w:rsid w:val="00320BF8"/>
    <w:rsid w:val="00371E43"/>
    <w:rsid w:val="003E6ECF"/>
    <w:rsid w:val="00533497"/>
    <w:rsid w:val="00856F60"/>
    <w:rsid w:val="008652B1"/>
    <w:rsid w:val="008B22F6"/>
    <w:rsid w:val="00962CA7"/>
    <w:rsid w:val="009802C5"/>
    <w:rsid w:val="009B3951"/>
    <w:rsid w:val="00A332D2"/>
    <w:rsid w:val="00BC0499"/>
    <w:rsid w:val="00BC71C5"/>
    <w:rsid w:val="00BE720A"/>
    <w:rsid w:val="00FE44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7BF3DC7-A054-4FA1-A65C-1CC8E8ECB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20BF8"/>
    <w:pPr>
      <w:spacing w:after="200" w:line="276" w:lineRule="auto"/>
    </w:pPr>
  </w:style>
  <w:style w:type="paragraph" w:styleId="Nagwek1">
    <w:name w:val="heading 1"/>
    <w:basedOn w:val="Normalny"/>
    <w:link w:val="Nagwek1Znak"/>
    <w:qFormat/>
    <w:rsid w:val="00320BF8"/>
    <w:pPr>
      <w:keepNext/>
      <w:numPr>
        <w:numId w:val="1"/>
      </w:numPr>
      <w:spacing w:after="0" w:line="240" w:lineRule="auto"/>
      <w:outlineLvl w:val="0"/>
    </w:pPr>
    <w:rPr>
      <w:rFonts w:ascii="Arial" w:eastAsia="Times New Roman" w:hAnsi="Arial" w:cs="Arial"/>
      <w:b/>
      <w:bCs/>
      <w:szCs w:val="24"/>
      <w:lang w:eastAsia="pl-PL"/>
    </w:rPr>
  </w:style>
  <w:style w:type="paragraph" w:styleId="Nagwek2">
    <w:name w:val="heading 2"/>
    <w:basedOn w:val="Normalny"/>
    <w:next w:val="Normalny"/>
    <w:link w:val="Nagwek2Znak"/>
    <w:unhideWhenUsed/>
    <w:qFormat/>
    <w:rsid w:val="00320BF8"/>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nhideWhenUsed/>
    <w:qFormat/>
    <w:rsid w:val="00320BF8"/>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nhideWhenUsed/>
    <w:qFormat/>
    <w:rsid w:val="00320BF8"/>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nhideWhenUsed/>
    <w:qFormat/>
    <w:rsid w:val="00320BF8"/>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320BF8"/>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320BF8"/>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nhideWhenUsed/>
    <w:qFormat/>
    <w:rsid w:val="00320BF8"/>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nhideWhenUsed/>
    <w:qFormat/>
    <w:rsid w:val="00320BF8"/>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320BF8"/>
    <w:rPr>
      <w:rFonts w:ascii="Arial" w:eastAsia="Times New Roman" w:hAnsi="Arial" w:cs="Arial"/>
      <w:b/>
      <w:bCs/>
      <w:szCs w:val="24"/>
      <w:lang w:eastAsia="pl-PL"/>
    </w:rPr>
  </w:style>
  <w:style w:type="character" w:customStyle="1" w:styleId="Nagwek2Znak">
    <w:name w:val="Nagłówek 2 Znak"/>
    <w:basedOn w:val="Domylnaczcionkaakapitu"/>
    <w:link w:val="Nagwek2"/>
    <w:rsid w:val="00320BF8"/>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rsid w:val="00320BF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320BF8"/>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rsid w:val="00320BF8"/>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rsid w:val="00320BF8"/>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rsid w:val="00320BF8"/>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rsid w:val="00320BF8"/>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rsid w:val="00320BF8"/>
    <w:rPr>
      <w:rFonts w:asciiTheme="majorHAnsi" w:eastAsiaTheme="majorEastAsia" w:hAnsiTheme="majorHAnsi" w:cstheme="majorBidi"/>
      <w:i/>
      <w:iCs/>
      <w:color w:val="272727" w:themeColor="text1" w:themeTint="D8"/>
      <w:sz w:val="21"/>
      <w:szCs w:val="21"/>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qFormat/>
    <w:locked/>
    <w:rsid w:val="00320BF8"/>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qFormat/>
    <w:rsid w:val="00320BF8"/>
    <w:pPr>
      <w:ind w:left="720"/>
      <w:contextualSpacing/>
    </w:pPr>
  </w:style>
  <w:style w:type="paragraph" w:customStyle="1" w:styleId="WW-Tekstpodstawowy3">
    <w:name w:val="WW-Tekst podstawowy 3"/>
    <w:basedOn w:val="Normalny"/>
    <w:uiPriority w:val="99"/>
    <w:rsid w:val="00320BF8"/>
    <w:pPr>
      <w:suppressAutoHyphens/>
      <w:spacing w:after="0" w:line="240" w:lineRule="auto"/>
    </w:pPr>
    <w:rPr>
      <w:rFonts w:ascii="Times New Roman" w:eastAsia="Times New Roman" w:hAnsi="Times New Roman" w:cs="Times New Roman"/>
      <w:sz w:val="24"/>
      <w:szCs w:val="20"/>
      <w:lang w:eastAsia="ar-SA"/>
    </w:rPr>
  </w:style>
  <w:style w:type="paragraph" w:styleId="Nagwekspisutreci">
    <w:name w:val="TOC Heading"/>
    <w:basedOn w:val="Nagwek1"/>
    <w:next w:val="Normalny"/>
    <w:uiPriority w:val="39"/>
    <w:unhideWhenUsed/>
    <w:qFormat/>
    <w:rsid w:val="00320BF8"/>
    <w:pPr>
      <w:keepLines/>
      <w:numPr>
        <w:numId w:val="0"/>
      </w:numPr>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Spistreci1">
    <w:name w:val="toc 1"/>
    <w:basedOn w:val="Normalny"/>
    <w:next w:val="Normalny"/>
    <w:autoRedefine/>
    <w:uiPriority w:val="39"/>
    <w:unhideWhenUsed/>
    <w:rsid w:val="00320BF8"/>
    <w:pPr>
      <w:spacing w:after="100"/>
    </w:pPr>
  </w:style>
  <w:style w:type="character" w:styleId="Hipercze">
    <w:name w:val="Hyperlink"/>
    <w:basedOn w:val="Domylnaczcionkaakapitu"/>
    <w:uiPriority w:val="99"/>
    <w:unhideWhenUsed/>
    <w:rsid w:val="00320BF8"/>
    <w:rPr>
      <w:color w:val="0563C1" w:themeColor="hyperlink"/>
      <w:u w:val="single"/>
    </w:rPr>
  </w:style>
  <w:style w:type="paragraph" w:styleId="Tekstdymka">
    <w:name w:val="Balloon Text"/>
    <w:basedOn w:val="Normalny"/>
    <w:link w:val="TekstdymkaZnak"/>
    <w:uiPriority w:val="99"/>
    <w:semiHidden/>
    <w:unhideWhenUsed/>
    <w:rsid w:val="009B395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3951"/>
    <w:rPr>
      <w:rFonts w:ascii="Segoe UI" w:hAnsi="Segoe UI" w:cs="Segoe UI"/>
      <w:sz w:val="18"/>
      <w:szCs w:val="18"/>
    </w:rPr>
  </w:style>
  <w:style w:type="paragraph" w:styleId="Nagwek">
    <w:name w:val="header"/>
    <w:basedOn w:val="Normalny"/>
    <w:link w:val="NagwekZnak"/>
    <w:uiPriority w:val="99"/>
    <w:unhideWhenUsed/>
    <w:rsid w:val="00BC04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C0499"/>
  </w:style>
  <w:style w:type="paragraph" w:styleId="Stopka">
    <w:name w:val="footer"/>
    <w:basedOn w:val="Normalny"/>
    <w:link w:val="StopkaZnak"/>
    <w:uiPriority w:val="99"/>
    <w:unhideWhenUsed/>
    <w:rsid w:val="00BC04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C0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12EED-EAEC-41B9-B8B3-6D2A9051E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53</Pages>
  <Words>10217</Words>
  <Characters>61303</Characters>
  <Application>Microsoft Office Word</Application>
  <DocSecurity>0</DocSecurity>
  <Lines>510</Lines>
  <Paragraphs>142</Paragraphs>
  <ScaleCrop>false</ScaleCrop>
  <HeadingPairs>
    <vt:vector size="2" baseType="variant">
      <vt:variant>
        <vt:lpstr>Tytuł</vt:lpstr>
      </vt:variant>
      <vt:variant>
        <vt:i4>1</vt:i4>
      </vt:variant>
    </vt:vector>
  </HeadingPairs>
  <TitlesOfParts>
    <vt:vector size="1" baseType="lpstr">
      <vt:lpstr/>
    </vt:vector>
  </TitlesOfParts>
  <Company>Kliniczny Szpital Wojewódzki nr2 w Rzeszowie</Company>
  <LinksUpToDate>false</LinksUpToDate>
  <CharactersWithSpaces>71378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Truszkiewicz</dc:creator>
  <cp:keywords/>
  <dc:description/>
  <cp:lastModifiedBy>Monika Majka</cp:lastModifiedBy>
  <cp:revision>9</cp:revision>
  <cp:lastPrinted>2026-04-01T06:17:00Z</cp:lastPrinted>
  <dcterms:created xsi:type="dcterms:W3CDTF">2026-03-31T06:38:00Z</dcterms:created>
  <dcterms:modified xsi:type="dcterms:W3CDTF">2026-04-02T09:41:00Z</dcterms:modified>
</cp:coreProperties>
</file>